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r>
        <w:rPr/>
        <w:t>1</w:t>
        <w:tab/>
        <w:t>Hidden Markov Models reveals annual changes in the daily activity levels of the Anillaco Tuco-tuco (</w:t>
      </w:r>
      <w:r>
        <w:rPr>
          <w:i/>
          <w:iCs/>
        </w:rPr>
        <w:t>Ctenomys sp.</w:t>
      </w:r>
      <w:r>
        <w:rPr/>
        <w:t>)</w:t>
      </w:r>
    </w:p>
    <w:p>
      <w:pPr>
        <w:pStyle w:val="Heading2"/>
        <w:numPr>
          <w:ilvl w:val="0"/>
          <w:numId w:val="2"/>
        </w:numPr>
        <w:rPr/>
      </w:pPr>
      <w:r>
        <w:rPr/>
        <w:t>1.1</w:t>
        <w:tab/>
        <w:t>Introduction</w:t>
      </w:r>
    </w:p>
    <w:p>
      <w:pPr>
        <w:pStyle w:val="Compact"/>
        <w:numPr>
          <w:ilvl w:val="0"/>
          <w:numId w:val="3"/>
        </w:numPr>
        <w:rPr/>
      </w:pPr>
      <w:r>
        <w:rPr/>
        <w:t>Contexto:</w:t>
      </w:r>
    </w:p>
    <w:p>
      <w:pPr>
        <w:pStyle w:val="Compact"/>
        <w:numPr>
          <w:ilvl w:val="0"/>
          <w:numId w:val="3"/>
        </w:numPr>
        <w:rPr/>
      </w:pPr>
      <w:r>
        <w:rPr/>
        <w:t>Síntese do conhecimento:O que se sabe sobe o tema central?</w:t>
      </w:r>
    </w:p>
    <w:p>
      <w:pPr>
        <w:pStyle w:val="Compact"/>
        <w:numPr>
          <w:ilvl w:val="0"/>
          <w:numId w:val="3"/>
        </w:numPr>
        <w:rPr/>
      </w:pPr>
      <w:r>
        <w:rPr/>
        <w:t>Como a questão investigada se encaixa nesse contexto teórico?</w:t>
      </w:r>
    </w:p>
    <w:p>
      <w:pPr>
        <w:pStyle w:val="Compact"/>
        <w:numPr>
          <w:ilvl w:val="0"/>
          <w:numId w:val="3"/>
        </w:numPr>
        <w:rPr/>
      </w:pPr>
      <w:r>
        <w:rPr/>
        <w:t>Rever anotações</w:t>
      </w:r>
    </w:p>
    <w:p>
      <w:pPr>
        <w:pStyle w:val="Compact"/>
        <w:numPr>
          <w:ilvl w:val="0"/>
          <w:numId w:val="3"/>
        </w:numPr>
        <w:rPr/>
      </w:pPr>
      <w:r>
        <w:rPr/>
        <w:t>objetivos: - tbm testar a necessidade de classificar para ritmicidade</w:t>
      </w:r>
      <w:bookmarkStart w:id="0" w:name="introduction"/>
      <w:bookmarkEnd w:id="0"/>
    </w:p>
    <w:p>
      <w:pPr>
        <w:pStyle w:val="Heading2"/>
        <w:numPr>
          <w:ilvl w:val="0"/>
          <w:numId w:val="2"/>
        </w:numPr>
        <w:rPr/>
      </w:pPr>
      <w:r>
        <w:rPr/>
        <w:t>1.2</w:t>
        <w:tab/>
        <w:t>Methods</w:t>
      </w:r>
    </w:p>
    <w:p>
      <w:pPr>
        <w:pStyle w:val="Heading3"/>
        <w:rPr/>
      </w:pPr>
      <w:r>
        <w:rPr/>
        <w:t>1.2.1</w:t>
        <w:tab/>
        <w:t>Study Species</w:t>
      </w:r>
    </w:p>
    <w:p>
      <w:pPr>
        <w:pStyle w:val="FirstParagraph"/>
        <w:rPr/>
      </w:pPr>
      <w:r>
        <w:rPr/>
        <w:t xml:space="preserve">The studied </w:t>
      </w:r>
      <w:r>
        <w:rPr>
          <w:i/>
          <w:iCs/>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xml:space="preserve">). In other studies, the studied </w:t>
      </w:r>
      <w:r>
        <w:rPr>
          <w:i/>
          <w:iCs/>
        </w:rPr>
        <w:t>Ctenomys’</w:t>
      </w:r>
      <w:r>
        <w:rPr/>
        <w:t xml:space="preserve"> species has been referred informally as the Anillaco tuco-tuco (</w:t>
      </w:r>
      <w:hyperlink w:anchor="ref-amaya2016">
        <w:r>
          <w:rPr>
            <w:rStyle w:val="InternetLink"/>
          </w:rPr>
          <w:t>Amaya et al. 2016</w:t>
        </w:r>
      </w:hyperlink>
      <w:r>
        <w:rPr/>
        <w:t xml:space="preserve">) and as </w:t>
      </w:r>
      <w:r>
        <w:rPr>
          <w:i/>
          <w:iCs/>
        </w:rPr>
        <w:t>Ctenomys</w:t>
      </w:r>
      <w:r>
        <w:rPr/>
        <w:t xml:space="preserve"> aff. </w:t>
      </w:r>
      <w:r>
        <w:rPr>
          <w:i/>
          <w:iCs/>
        </w:rPr>
        <w:t>knightii</w:t>
      </w:r>
      <w:r>
        <w:rPr/>
        <w:t xml:space="preserve"> (</w:t>
      </w:r>
      <w:hyperlink w:anchor="ref-tomotani2012">
        <w:r>
          <w:rPr>
            <w:rStyle w:val="InternetLink"/>
          </w:rPr>
          <w:t>Tomotani et al. 2012</w:t>
        </w:r>
      </w:hyperlink>
      <w:r>
        <w:rPr/>
        <w:t xml:space="preserve">) or </w:t>
      </w:r>
      <w:r>
        <w:rPr>
          <w:i/>
          <w:iCs/>
        </w:rPr>
        <w:t>Ctenomys</w:t>
      </w:r>
      <w:r>
        <w:rPr/>
        <w:t xml:space="preserve"> cf. </w:t>
      </w:r>
      <w:r>
        <w:rPr>
          <w:i/>
          <w:iCs/>
        </w:rPr>
        <w:t>knightii</w:t>
      </w:r>
      <w:r>
        <w:rPr/>
        <w:t xml:space="preserve"> (</w:t>
      </w:r>
      <w:hyperlink w:anchor="ref-valentinuzzi2009">
        <w:r>
          <w:rPr>
            <w:rStyle w:val="InternetLink"/>
          </w:rPr>
          <w:t>Valentinuzzi et al. 2009</w:t>
        </w:r>
      </w:hyperlink>
      <w:r>
        <w:rPr/>
        <w:t>).</w:t>
      </w:r>
      <w:bookmarkStart w:id="1" w:name="study-species"/>
      <w:bookmarkEnd w:id="1"/>
    </w:p>
    <w:p>
      <w:pPr>
        <w:pStyle w:val="Heading3"/>
        <w:rPr/>
      </w:pPr>
      <w:r>
        <w:rPr/>
        <w:t>1.2.2</w:t>
        <w:tab/>
        <w:t>Study Site</w:t>
      </w:r>
    </w:p>
    <w:p>
      <w:pPr>
        <w:pStyle w:val="FirstParagraph"/>
        <w:rPr/>
      </w:pPr>
      <w:r>
        <w:rPr/>
        <w:t>Field work was conducted at a site located approximately 5km away from the village of Anillaco, in the province of La Rioja, Northwest Argentina. The study site (-66.95°, -028.80, 1325m; Figure 1.1) is a relatively undisturbed natural area, with little human disturbance and no artificial light source. The area is surrounded by the Sierra de Velasco mountain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(Figure 2.1). The climate is arid with marked daily and seasonal cycles in temperature and rainfall (Figure 3.1). The mean annual temperature is 16.6°C (</w:t>
      </w:r>
      <w:hyperlink w:anchor="ref-fracchia2011">
        <w:r>
          <w:rPr>
            <w:rStyle w:val="InternetLink"/>
          </w:rPr>
          <w:t>Fracchia et al. 2011</w:t>
        </w:r>
      </w:hyperlink>
      <w:r>
        <w:rPr/>
        <w:t>), with clear differences in the daily range and between summer and winter months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114935" distR="114935">
            <wp:extent cx="5943600" cy="5943600"/>
            <wp:effectExtent l="0" t="0" r="0" b="0"/>
            <wp:docPr id="1" name="Picture" descr="Figure 1.1: Study site location (orange icon) at the Monte Desert, approximately 5km away from the village of Anillaco, northwest of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icon) at the Monte Desert, approximately 5km away from the village of Anillaco, northwest of Argentina"/>
                    <pic:cNvPicPr>
                      <a:picLocks noChangeAspect="1" noChangeArrowheads="1"/>
                    </pic:cNvPicPr>
                  </pic:nvPicPr>
                  <pic:blipFill>
                    <a:blip r:embed="rId2"/>
                    <a:stretch>
                      <a:fillRect/>
                    </a:stretch>
                  </pic:blipFill>
                  <pic:spPr bwMode="auto">
                    <a:xfrm>
                      <a:off x="0" y="0"/>
                      <a:ext cx="5943600" cy="5943600"/>
                    </a:xfrm>
                    <a:prstGeom prst="rect">
                      <a:avLst/>
                    </a:prstGeom>
                  </pic:spPr>
                </pic:pic>
              </a:graphicData>
            </a:graphic>
          </wp:inline>
        </w:drawing>
      </w:r>
    </w:p>
    <w:p>
      <w:pPr>
        <w:pStyle w:val="ImageCaption"/>
        <w:rPr/>
      </w:pPr>
      <w:r>
        <w:rPr/>
        <w:t>Figure 1.1: Study site location (orange icon) at the Monte Desert, approximately 5km away from the village of Anillaco, northwest of Argentina</w:t>
      </w:r>
      <w:bookmarkStart w:id="2" w:name="study-site"/>
      <w:bookmarkEnd w:id="2"/>
    </w:p>
    <w:p>
      <w:pPr>
        <w:pStyle w:val="Heading3"/>
        <w:rPr/>
      </w:pPr>
      <w:r>
        <w:rPr/>
        <w:t>1.2.3</w:t>
        <w:tab/>
        <w:t>Animal Capture and Handling</w:t>
      </w:r>
    </w:p>
    <w:p>
      <w:pPr>
        <w:pStyle w:val="FirstParagraph"/>
        <w:rPr/>
      </w:pPr>
      <w:r>
        <w:rPr/>
        <w:t>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cul-de-sac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rPr/>
      </w:pPr>
      <w:r>
        <w:rPr/>
        <w:t>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Activity Sensors).</w:t>
      </w:r>
    </w:p>
    <w:p>
      <w:pPr>
        <w:pStyle w:val="TextBody"/>
        <w:rPr/>
      </w:pPr>
      <w:r>
        <w:rPr/>
        <w:t xml:space="preserve">Animals were released in the same burrow they were originally captured. They were left in the field for 5-18 days before being recaptured for collar recovery. The telemetry transmitter was used to maximize animal localization, thus avoiding the loss of the other devices.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bookmarkStart w:id="3" w:name="animal-capture-and-handling"/>
      <w:bookmarkEnd w:id="3"/>
    </w:p>
    <w:p>
      <w:pPr>
        <w:pStyle w:val="Heading3"/>
        <w:rPr/>
      </w:pPr>
      <w:r>
        <w:rPr/>
        <w:t>1.2.4</w:t>
        <w:tab/>
        <w:t>Biologgers</w:t>
      </w:r>
    </w:p>
    <w:p>
      <w:pPr>
        <w:pStyle w:val="FirstParagraph"/>
        <w:rPr/>
      </w:pPr>
      <w:r>
        <w:rPr/>
        <w:t>Accelerometers (Axy-4, TechnoSmart, Italy) and lightloggers (W65, Migrate Technology, UK) were used to record general motor activity and light exposure, respectively. These biologgers were attached to a collar made of a cable tie inserted through silicon tubing (</w:t>
      </w:r>
      <w:hyperlink w:anchor="ref-jannetti2019">
        <w:r>
          <w:rPr>
            <w:rStyle w:val="InternetLink"/>
          </w:rPr>
          <w:t>Jannetti et al. 2019</w:t>
        </w:r>
      </w:hyperlink>
      <w:r>
        <w:rPr/>
        <w:t xml:space="preserve">; </w:t>
      </w:r>
      <w:hyperlink w:anchor="ref-williams2014">
        <w:r>
          <w:rPr>
            <w:rStyle w:val="InternetLink"/>
          </w:rPr>
          <w:t>Williams et al. 2014, fig. 1.2</w:t>
        </w:r>
      </w:hyperlink>
      <w:r>
        <w:rPr/>
        <w:t>).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rPr/>
      </w:pPr>
      <w:r>
        <w:rPr/>
        <w:drawing>
          <wp:inline distT="0" distB="0" distL="114935" distR="114935">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3"/>
                    <a:stretch>
                      <a:fillRect/>
                    </a:stretch>
                  </pic:blipFill>
                  <pic:spPr bwMode="auto">
                    <a:xfrm>
                      <a:off x="0" y="0"/>
                      <a:ext cx="5943600" cy="5594350"/>
                    </a:xfrm>
                    <a:prstGeom prst="rect">
                      <a:avLst/>
                    </a:prstGeom>
                  </pic:spPr>
                </pic:pic>
              </a:graphicData>
            </a:graphic>
          </wp:inline>
        </w:drawing>
      </w:r>
    </w:p>
    <w:p>
      <w:pPr>
        <w:pStyle w:val="ImageCaption"/>
        <w:rPr/>
      </w:pPr>
      <w:r>
        <w:rPr/>
        <w:t>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bookmarkStart w:id="4" w:name="biologgers"/>
      <w:bookmarkEnd w:id="4"/>
    </w:p>
    <w:p>
      <w:pPr>
        <w:pStyle w:val="Heading3"/>
        <w:rPr/>
      </w:pPr>
      <w:r>
        <w:rPr/>
        <w:t>1.2.5</w:t>
        <w:tab/>
        <w:t>Data Processing &amp; General Activity Calculation</w:t>
      </w:r>
    </w:p>
    <w:p>
      <w:pPr>
        <w:pStyle w:val="FirstParagraph"/>
        <w:rPr/>
      </w:pPr>
      <w:r>
        <w:rPr/>
        <w:t xml:space="preserve">Data were recorded on board of the sensors and later downloaded and converted to raw text files using the software provided by the device’s manufacturers. Acceleration data was used to measure gross motor activity. Tri-axial acceleration data was first reduced to one dimension using the Vectorial Dynamic Body Acceleration (VeDBA, </w:t>
      </w:r>
      <w:hyperlink w:anchor="ref-qasem2012">
        <w:r>
          <w:rPr>
            <w:rStyle w:val="InternetLink"/>
          </w:rPr>
          <w:t>Qasem et al. 2012</w:t>
        </w:r>
      </w:hyperlink>
      <w:r>
        <w:rPr/>
        <w:t>). VeDBA is commonly used as a proxy for the animal’s activity level and energy expenditure (</w:t>
      </w:r>
      <w:hyperlink w:anchor="ref-wilson2008">
        <w:r>
          <w:rPr>
            <w:rStyle w:val="InternetLink"/>
          </w:rPr>
          <w:t>Wilson et al. 2008</w:t>
        </w:r>
      </w:hyperlink>
      <w:r>
        <w:rPr/>
        <w:t xml:space="preserve">; </w:t>
      </w:r>
      <w:hyperlink w:anchor="ref-williams2016">
        <w:r>
          <w:rPr>
            <w:rStyle w:val="InternetLink"/>
          </w:rPr>
          <w:t>Williams et al. 2016</w:t>
        </w:r>
      </w:hyperlink>
      <w:r>
        <w:rPr/>
        <w:t>).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to calculate the moving average with, which can be dependent on the study species and device’s recording frequency. In this study we used a 4-second moving average after following the methodology proposed by (</w:t>
      </w:r>
      <w:hyperlink w:anchor="ref-ref">
        <w:r>
          <w:rPr>
            <w:rStyle w:val="InternetLink"/>
            <w:b/>
            <w:bCs/>
          </w:rPr>
          <w:t>ref?</w:t>
        </w:r>
      </w:hyperlink>
      <w:r>
        <w:rPr/>
        <w:t>). (ii) Calculating the acceleration correspondent to the animal’s movement, also known as Dynamic Body Acceleration (DBA). The DBA was calculated by subtracting the static acceleration from the raw data. (iii) Lastly, we calculate the VeDBA by the vectorial sum of the DBA over the device’s axes.</w:t>
      </w:r>
    </w:p>
    <w:p>
      <w:pPr>
        <w:pStyle w:val="TextBody"/>
        <w:jc w:val="center"/>
        <w:rPr/>
      </w:pPr>
      <w:r>
        <w:rPr/>
      </w:r>
      <m:oMathPara xmlns:m="http://schemas.openxmlformats.org/officeDocument/2006/math">
        <m:oMathParaPr>
          <m:jc m:val="center"/>
        </m:oMathParaPr>
        <m:oMath>
          <m:r>
            <w:rPr>
              <w:rFonts w:ascii="Cambria Math" w:hAnsi="Cambria Math"/>
            </w:rPr>
            <m:t xml:space="preserve">V</m:t>
          </m:r>
          <m:r>
            <w:rPr>
              <w:rFonts w:ascii="Cambria Math" w:hAnsi="Cambria Math"/>
            </w:rPr>
            <m:t xml:space="preserve">e</m:t>
          </m:r>
          <m:r>
            <w:rPr>
              <w:rFonts w:ascii="Cambria Math" w:hAnsi="Cambria Math"/>
            </w:rPr>
            <m:t xml:space="preserve">D</m:t>
          </m:r>
          <m:r>
            <w:rPr>
              <w:rFonts w:ascii="Cambria Math" w:hAnsi="Cambria Math"/>
            </w:rPr>
            <m:t xml:space="preserve">B</m:t>
          </m:r>
          <m:r>
            <w:rPr>
              <w:rFonts w:ascii="Cambria Math" w:hAnsi="Cambria Math"/>
            </w:rPr>
            <m:t xml:space="preserve">A</m:t>
          </m:r>
          <m:r>
            <w:rPr>
              <w:rFonts w:ascii="Cambria Math" w:hAnsi="Cambria Math"/>
            </w:rPr>
            <m:t xml:space="preserve">=</m:t>
          </m:r>
          <m:rad>
            <m:radPr>
              <m:degHide m:val="1"/>
            </m:radPr>
            <m:deg/>
            <m:e>
              <m:r>
                <w:rPr>
                  <w:rFonts w:ascii="Cambria Math" w:hAnsi="Cambria Math"/>
                </w:rPr>
                <m:t xml:space="preserve">X</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Y</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Z</m:t>
              </m:r>
              <m:sSup>
                <m:e>
                  <m:r>
                    <w:rPr>
                      <w:rFonts w:ascii="Cambria Math" w:hAnsi="Cambria Math"/>
                    </w:rPr>
                    <m:t xml:space="preserve">d</m:t>
                  </m:r>
                </m:e>
                <m:sup>
                  <m:r>
                    <w:rPr>
                      <w:rFonts w:ascii="Cambria Math" w:hAnsi="Cambria Math"/>
                    </w:rPr>
                    <m:t xml:space="preserve">2</m:t>
                  </m:r>
                </m:sup>
              </m:sSup>
            </m:e>
          </m:rad>
        </m:oMath>
      </m:oMathPara>
    </w:p>
    <w:p>
      <w:pPr>
        <w:pStyle w:val="FirstParagraph"/>
        <w:rPr/>
      </w:pPr>
      <w:r>
        <w:rPr/>
        <w:t xml:space="preserve">Once VeDBA was calculated, the 1Hz acceleration data was downsampled by taking the median over a 1-minute non-overlapping sliding window. All VeDBA datapoints were classified as occurring during the daytime or nighttime based on the daylength of the recording dates. Daylength was calculated using the </w:t>
      </w:r>
      <w:r>
        <w:rPr>
          <w:i/>
          <w:iCs/>
        </w:rPr>
        <w:t>maptools</w:t>
      </w:r>
      <w:r>
        <w:rPr/>
        <w:t xml:space="preserve"> package in R (</w:t>
      </w:r>
      <w:hyperlink w:anchor="ref-bivand2020">
        <w:r>
          <w:rPr>
            <w:rStyle w:val="InternetLink"/>
          </w:rPr>
          <w:t>Bivand and Lewin-Koh 2020</w:t>
        </w:r>
      </w:hyperlink>
      <w:r>
        <w:rPr/>
        <w: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Daylength change along the year at the study site can be seen in the Appendix (Figure 4.1).</w:t>
      </w:r>
    </w:p>
    <w:p>
      <w:pPr>
        <w:pStyle w:val="TextBody"/>
        <w:rPr/>
      </w:pPr>
      <w:r>
        <w:rPr/>
        <w:t xml:space="preserve">Light exposure was used to further classify VeDBA data points as above or below ground. The threshold for considering a data point as being aboveground was 2 lux, consistent with what has been done in </w:t>
      </w:r>
      <w:hyperlink w:anchor="ref-jannetti2019">
        <w:r>
          <w:rPr>
            <w:rStyle w:val="InternetLink"/>
          </w:rPr>
          <w:t>Jannetti et al.</w:t>
        </w:r>
      </w:hyperlink>
      <w:r>
        <w:rPr/>
        <w:t xml:space="preserve"> (</w:t>
      </w:r>
      <w:hyperlink w:anchor="ref-jannetti2019">
        <w:r>
          <w:rPr>
            <w:rStyle w:val="InternetLink"/>
          </w:rPr>
          <w:t>2019</w:t>
        </w:r>
      </w:hyperlink>
      <w:r>
        <w:rPr/>
        <w:t>). Accelerometer and lightlogger data were merged accordingly to the date and times of recordings using purposely written R scripts (</w:t>
      </w:r>
      <w:hyperlink w:anchor="ref-rcoreteam2020">
        <w:r>
          <w:rPr>
            <w:rStyle w:val="InternetLink"/>
          </w:rPr>
          <w:t>R Core Team 2020</w:t>
        </w:r>
      </w:hyperlink>
      <w:r>
        <w:rPr/>
        <w:t>). Time of recordings between both devices were not synchronized to the minute. Consequently, we had to round lightlogger recording times to the nearest 5 minutes to merge both data streams.</w:t>
      </w:r>
    </w:p>
    <w:p>
      <w:pPr>
        <w:pStyle w:val="TextBody"/>
        <w:rPr/>
      </w:pPr>
      <w:r>
        <w:rPr/>
        <w:t>In order to exclude any effects that capture and recapture can have in the animal’s activity, we removed the first and last days of all dataset. We also excluded the data corresponding to the days we were attempting to recapture the animal in cases where the recapture attempts took longer than one day. Animals that had data excluded due to recapturing efforts were FEV05 (5 days), JUL16 (5 days) and JUL23 (2 days).</w:t>
      </w:r>
      <w:bookmarkStart w:id="5" w:name="X40cd478c032b66f18c4f002274135e417e4adee"/>
      <w:bookmarkEnd w:id="5"/>
    </w:p>
    <w:p>
      <w:pPr>
        <w:pStyle w:val="Heading3"/>
        <w:rPr/>
      </w:pPr>
      <w:r>
        <w:rPr/>
        <w:t>1.2.6</w:t>
        <w:tab/>
        <w:t>Hidden Markov Models</w:t>
      </w:r>
    </w:p>
    <w:p>
      <w:pPr>
        <w:pStyle w:val="FirstParagraph"/>
        <w:rPr/>
      </w:pPr>
      <w:r>
        <w:rPr/>
        <w:t>We used Hidden Markov Models (HMMs) to further analyze and classify the 1-minute VeDBA data. HMMs are a type of time series model, therefore, they take into account the temporal dependency of the observations (</w:t>
      </w:r>
      <w:hyperlink w:anchor="ref-leosbarajas2017">
        <w:r>
          <w:rPr>
            <w:rStyle w:val="InternetLink"/>
          </w:rPr>
          <w:t>Leos-Barajas et al. 2017</w:t>
        </w:r>
      </w:hyperlink>
      <w:r>
        <w:rPr/>
        <w:t>). Consequently, HMMs are well suited to model accelerometer data given their intrinsic temporal dependency (</w:t>
      </w:r>
      <w:hyperlink w:anchor="ref-leosbarajas2017">
        <w:r>
          <w:rPr>
            <w:rStyle w:val="InternetLink"/>
          </w:rPr>
          <w:t>Leos-Barajas et al. 2017</w:t>
        </w:r>
      </w:hyperlink>
      <w:r>
        <w:rPr/>
        <w:t xml:space="preserve">; </w:t>
      </w:r>
      <w:hyperlink w:anchor="ref-patterson2019">
        <w:r>
          <w:rPr>
            <w:rStyle w:val="InternetLink"/>
          </w:rPr>
          <w:t>A. Patterson et al. 2019</w:t>
        </w:r>
      </w:hyperlink>
      <w:r>
        <w:rPr/>
        <w:t xml:space="preserve">). 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xml:space="preserve">), VeDBA in our case, and an underlying,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The </w:t>
      </w:r>
      <w:r>
        <w:rPr>
          <w:i/>
          <w:iCs/>
        </w:rPr>
        <w:t>state process</w:t>
      </w:r>
      <w:r>
        <w:rPr/>
        <w:t xml:space="preserve"> is what drives the observations and what we are interested in estimating, which roughly corresponds to behavioral states (Figure 1.3).</w:t>
      </w:r>
    </w:p>
    <w:p>
      <w:pPr>
        <w:pStyle w:val="TextBody"/>
        <w:rPr/>
      </w:pPr>
      <w:r>
        <w:rPr/>
        <w:t xml:space="preserve">The </w:t>
      </w:r>
      <w:r>
        <w:rPr>
          <w:i/>
          <w:iCs/>
        </w:rPr>
        <w:t>state process</w:t>
      </w:r>
      <w:r>
        <w:rPr/>
        <w:t xml:space="preserve"> follows the Markov Property and take temporal dependency into account (</w:t>
      </w:r>
      <w:hyperlink w:anchor="ref-zucchini2016">
        <w:r>
          <w:rPr>
            <w:rStyle w:val="InternetLink"/>
          </w:rPr>
          <w:t>Zucchini, Iain MacDonald, and Roland Langrock 2016</w:t>
        </w:r>
      </w:hyperlink>
      <w:r>
        <w:rPr/>
        <w:t xml:space="preserve">).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hyperlink w:anchor="ref-zucchini2016">
        <w:r>
          <w:rPr>
            <w:rStyle w:val="InternetLink"/>
          </w:rPr>
          <w:t>Zucchini, Iain MacDonald, and Roland Langrock 2016</w:t>
        </w:r>
      </w:hyperlink>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The changes in probabilities between states are also part of the of HMM formulation, summarized by a Transition Probability Matrix that gives the probability of transitioning from the current state to a possible future state.</w:t>
      </w:r>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distributions come from a common family (e.g. Normal, Weibull or Gamma) and each one have their own set of parameter values. The active distribution is determined by the state the system is in at a given time </w:t>
      </w:r>
      <w:r>
        <w:rPr/>
      </w:r>
      <m:oMath xmlns:m="http://schemas.openxmlformats.org/officeDocument/2006/math">
        <m:r>
          <w:rPr>
            <w:rFonts w:ascii="Cambria Math" w:hAnsi="Cambria Math"/>
          </w:rPr>
          <m:t xml:space="preserve">t</m:t>
        </m:r>
      </m:oMath>
      <w:r>
        <w:rPr/>
        <w:t>. Therefore, the observations are a realization from one of these distributions. The distribution parameters, state transition probabilities and other model parameters can be estimated by numerical maximization of the Likelihood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aptionedFigure"/>
        <w:rPr/>
      </w:pPr>
      <w:r>
        <w:rPr/>
        <w:drawing>
          <wp:inline distT="0" distB="0" distL="114935" distR="114935">
            <wp:extent cx="3810000" cy="1353185"/>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4"/>
                    <a:stretch>
                      <a:fillRect/>
                    </a:stretch>
                  </pic:blipFill>
                  <pic:spPr bwMode="auto">
                    <a:xfrm>
                      <a:off x="0" y="0"/>
                      <a:ext cx="3810000" cy="1353185"/>
                    </a:xfrm>
                    <a:prstGeom prst="rect">
                      <a:avLst/>
                    </a:prstGeom>
                  </pic:spPr>
                </pic:pic>
              </a:graphicData>
            </a:graphic>
          </wp:inline>
        </w:drawing>
      </w:r>
    </w:p>
    <w:p>
      <w:pPr>
        <w:pStyle w:val="CaptionedFigure"/>
        <w:rPr/>
      </w:pPr>
      <w:r>
        <w:rPr/>
        <w:t>Figure 1.3: Basic dependence structure for a Hidden Markov Model</w:t>
      </w:r>
      <w:bookmarkStart w:id="6" w:name="hidden-markov-models"/>
      <w:bookmarkEnd w:id="6"/>
    </w:p>
    <w:p>
      <w:pPr>
        <w:pStyle w:val="Heading3"/>
        <w:rPr/>
      </w:pPr>
      <w:r>
        <w:rPr/>
        <w:t>1.2.7</w:t>
        <w:tab/>
        <w:t>Model Formulation and State Classification</w:t>
      </w:r>
    </w:p>
    <w:p>
      <w:pPr>
        <w:pStyle w:val="FirstParagraph"/>
        <w:rPr/>
      </w:pPr>
      <w:r>
        <w:rPr/>
        <w:t xml:space="preserve">In our models we have chosen VeDBA as our activity metric. We determined </w:t>
      </w:r>
      <w:r>
        <w:rPr>
          <w:i/>
          <w:iCs/>
        </w:rPr>
        <w:t>a priori</w:t>
      </w:r>
      <w:r>
        <w:rPr/>
        <w:t xml:space="preserve"> a possible number of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This decision was made based on our research question, in the VeDBA distributions (REF Figure ??)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 “Medium Intensity Activity” and “High Intensity Activity.”</w:t>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T. A. Patterson et al. 2009</w:t>
        </w:r>
      </w:hyperlink>
      <w:r>
        <w:rPr/>
        <w:t xml:space="preserve">; </w:t>
      </w:r>
      <w:hyperlink w:anchor="ref-langrock2012">
        <w:r>
          <w:rPr>
            <w:rStyle w:val="InternetLink"/>
          </w:rPr>
          <w:t>Langrock et al. 2012</w:t>
        </w:r>
      </w:hyperlink>
      <w:r>
        <w:rPr/>
        <w:t xml:space="preserve">). We fitted a 3-state HMM to the 1-minute VeDBA data using a ‘complete pooling’ approach. This means that the </w:t>
      </w:r>
      <w:r>
        <w:rPr>
          <w:i/>
          <w:iCs/>
        </w:rPr>
        <w:t>state-dependent</w:t>
      </w:r>
      <w:r>
        <w:rPr/>
        <w:t xml:space="preserve"> 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 ??) we included season as a covariate in the </w:t>
      </w:r>
      <w:r>
        <w:rPr>
          <w:i/>
          <w:iCs/>
        </w:rPr>
        <w:t>state process</w:t>
      </w:r>
      <w:r>
        <w:rPr/>
        <w:t>. Hence, nãwe let the probability of changing from one state to another vary in relation to the season/month of the year.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algorithm (</w:t>
      </w:r>
      <w:hyperlink w:anchor="ref-zucchini2016">
        <w:r>
          <w:rPr>
            <w:rStyle w:val="InternetLink"/>
          </w:rPr>
          <w:t>Zucchini, Iain MacDonald, and Roland Langrock 2016</w:t>
        </w:r>
      </w:hyperlink>
      <w:r>
        <w:rPr/>
        <w:t xml:space="preserve">). The decoded sequence was then used to conducted other </w:t>
      </w:r>
      <w:r>
        <w:rPr>
          <w:i/>
          <w:iCs/>
        </w:rPr>
        <w:t>post-hoc</w:t>
      </w:r>
      <w:r>
        <w:rPr/>
        <w:t xml:space="preserve"> analysis of diurnality and rhythmicity. We checked model assumptions and goodness of fit by visual inspection of the pseudo-residuals (</w:t>
      </w:r>
      <w:hyperlink w:anchor="ref-zucchini2016">
        <w:r>
          <w:rPr>
            <w:rStyle w:val="InternetLink"/>
          </w:rPr>
          <w:t>Zucchini, Iain MacDonald, and Roland Langrock 2016</w:t>
        </w:r>
      </w:hyperlink>
      <w:r>
        <w:rPr/>
        <w:t>).</w:t>
      </w:r>
      <w:bookmarkStart w:id="7" w:name="Xdb6b397daf2ee291d713b2ff7b5fbb4ce7f1bb6"/>
      <w:bookmarkEnd w:id="7"/>
    </w:p>
    <w:p>
      <w:pPr>
        <w:pStyle w:val="Heading3"/>
        <w:rPr/>
      </w:pPr>
      <w:r>
        <w:rPr/>
        <w:t>1.2.8</w:t>
        <w:tab/>
        <w:t>Diurnality Index</w:t>
      </w:r>
    </w:p>
    <w:p>
      <w:pPr>
        <w:pStyle w:val="FirstParagraph"/>
        <w:rPr/>
      </w:pPr>
      <w:r>
        <w:rPr/>
        <w:t xml:space="preserve">We defined diurnality index (DI) as the percentage of daytime the animals spent in one of the states in relation to the total time spent in the same state during both daytime and night-time, corrected by the daylength of each season </w:t>
      </w:r>
      <w:hyperlink w:anchor="ref-jannetti2019">
        <w:r>
          <w:rPr>
            <w:rStyle w:val="InternetLink"/>
          </w:rPr>
          <w:t>Jannetti et al.</w:t>
        </w:r>
      </w:hyperlink>
      <w:r>
        <w:rPr/>
        <w:t xml:space="preserve"> (</w:t>
      </w:r>
      <w:hyperlink w:anchor="ref-jannetti2019">
        <w:r>
          <w:rPr>
            <w:rStyle w:val="InternetLink"/>
          </w:rPr>
          <w:t>2019</w:t>
        </w:r>
      </w:hyperlink>
      <w:r>
        <w:rPr/>
        <w:t>). The DI ranges from 0 to 1, with 0 meaning that all activity happens during the night and 1 the opposite, that all activity happens during the day.</w:t>
      </w:r>
    </w:p>
    <w:p>
      <w:pPr>
        <w:pStyle w:val="TextBody"/>
        <w:rPr/>
      </w:pPr>
      <w:r>
        <w:rPr/>
        <w:t xml:space="preserve">The equation for the diurnality is shown below, where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oMath>
      <w:r>
        <w:rPr/>
        <w:t xml:space="preserve"> and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oMath>
      <w:r>
        <w:rPr/>
        <w:t xml:space="preserve"> are the time spent in the state during the day and night respectively. </w:t>
      </w:r>
      <w:r>
        <w:rPr/>
      </w:r>
      <m:oMath xmlns:m="http://schemas.openxmlformats.org/officeDocument/2006/math">
        <m:sSub>
          <m:e>
            <m:r>
              <w:rPr>
                <w:rFonts w:ascii="Cambria Math" w:hAnsi="Cambria Math"/>
              </w:rPr>
              <m:t xml:space="preserve">L</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oMath>
      <w:r>
        <w:rPr/>
        <w:t xml:space="preserve"> and </w:t>
      </w:r>
      <w:r>
        <w:rPr/>
      </w:r>
      <m:oMath xmlns:m="http://schemas.openxmlformats.org/officeDocument/2006/math">
        <m:sSub>
          <m:e>
            <m:r>
              <w:rPr>
                <w:rFonts w:ascii="Cambria Math" w:hAnsi="Cambria Math"/>
              </w:rPr>
              <m:t xml:space="preserve">L</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oMath>
      <w:r>
        <w:rPr/>
        <w:t xml:space="preserve"> are the daylength and night-length, determined by the civil twilight.</w:t>
      </w:r>
    </w:p>
    <w:p>
      <w:pPr>
        <w:pStyle w:val="TextBody"/>
        <w:jc w:val="center"/>
        <w:rPr/>
      </w:pPr>
      <w:r>
        <w:rPr/>
      </w:r>
      <m:oMathPara xmlns:m="http://schemas.openxmlformats.org/officeDocument/2006/math">
        <m:oMathParaPr>
          <m:jc m:val="center"/>
        </m:oMathParaPr>
        <m:oMath>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r</m:t>
          </m:r>
          <m:r>
            <w:rPr>
              <w:rFonts w:ascii="Cambria Math" w:hAnsi="Cambria Math"/>
            </w:rPr>
            <m:t xml:space="preserve">n</m:t>
          </m:r>
          <m:r>
            <w:rPr>
              <w:rFonts w:ascii="Cambria Math" w:hAnsi="Cambria Math"/>
            </w:rPr>
            <m:t xml:space="preserve">a</m:t>
          </m:r>
          <m:r>
            <w:rPr>
              <w:rFonts w:ascii="Cambria Math" w:hAnsi="Cambria Math"/>
            </w:rPr>
            <m:t xml:space="preserve">l</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f>
            <m:num>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num>
                <m:den>
                  <m:sSub>
                    <m:e>
                      <m:r>
                        <w:rPr>
                          <w:rFonts w:ascii="Cambria Math" w:hAnsi="Cambria Math"/>
                        </w:rPr>
                        <m:t xml:space="preserve">L</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den>
              </m:f>
            </m:num>
            <m:den>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num>
                <m:den>
                  <m:sSub>
                    <m:e>
                      <m:r>
                        <w:rPr>
                          <w:rFonts w:ascii="Cambria Math" w:hAnsi="Cambria Math"/>
                        </w:rPr>
                        <m:t xml:space="preserve">L</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den>
              </m:f>
              <m:r>
                <w:rPr>
                  <w:rFonts w:ascii="Cambria Math" w:hAnsi="Cambria Math"/>
                </w:rPr>
                <m:t xml:space="preserve">+</m:t>
              </m:r>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num>
                <m:den>
                  <m:sSub>
                    <m:e>
                      <m:r>
                        <w:rPr>
                          <w:rFonts w:ascii="Cambria Math" w:hAnsi="Cambria Math"/>
                        </w:rPr>
                        <m:t xml:space="preserve">L</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den>
              </m:f>
            </m:den>
          </m:f>
        </m:oMath>
      </m:oMathPara>
      <w:bookmarkStart w:id="8" w:name="diurnality-index"/>
      <w:bookmarkEnd w:id="8"/>
    </w:p>
    <w:p>
      <w:pPr>
        <w:pStyle w:val="Heading3"/>
        <w:rPr/>
      </w:pPr>
      <w:r>
        <w:rPr/>
        <w:t>1.2.9</w:t>
        <w:tab/>
        <w:t>Circadian Rhythmicity and Period Estimation</w:t>
      </w:r>
    </w:p>
    <w:p>
      <w:pPr>
        <w:pStyle w:val="FirstParagraph"/>
        <w:rPr/>
      </w:pPr>
      <w:r>
        <w:rPr/>
        <w:t>We used autocorrelation analysis (</w:t>
      </w:r>
      <w:hyperlink w:anchor="ref-levine2002">
        <w:r>
          <w:rPr>
            <w:rStyle w:val="InternetLink"/>
          </w:rPr>
          <w:t>Levine et al. 2002</w:t>
        </w:r>
      </w:hyperlink>
      <w:r>
        <w:rPr/>
        <w:t xml:space="preserve">; </w:t>
      </w:r>
      <w:hyperlink w:anchor="ref-dowse2009">
        <w:r>
          <w:rPr>
            <w:rStyle w:val="InternetLink"/>
          </w:rPr>
          <w:t>Dowse 2009</w:t>
        </w:r>
      </w:hyperlink>
      <w:r>
        <w:rPr/>
        <w:t>) 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 (</w:t>
      </w:r>
      <w:hyperlink w:anchor="ref-dowse2009">
        <w:r>
          <w:rPr>
            <w:rStyle w:val="InternetLink"/>
          </w:rPr>
          <w:t>Dowse 2009</w:t>
        </w:r>
      </w:hyperlink>
      <w:r>
        <w:rPr/>
        <w:t>). The robustness of the rhythm, also referred as the Rhythmicity Index (RI), is defined as the autocorrelation coefficient at the third peak of the autocorrelation plot (i.e. the height of the third peak).</w:t>
      </w:r>
    </w:p>
    <w:p>
      <w:pPr>
        <w:pStyle w:val="TextBody"/>
        <w:rPr/>
      </w:pPr>
      <w:r>
        <w:rPr/>
        <w:t>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 (</w:t>
      </w:r>
      <w:hyperlink w:anchor="ref-leise2017">
        <w:r>
          <w:rPr>
            <w:rStyle w:val="InternetLink"/>
          </w:rPr>
          <w:t>Leise 2017</w:t>
        </w:r>
      </w:hyperlink>
      <w:r>
        <w:rPr/>
        <w:t>). For comparison with the labeled data, we also calculated the RI for the unlabeled VeDBA data</w:t>
      </w:r>
    </w:p>
    <w:p>
      <w:pPr>
        <w:pStyle w:val="TextBody"/>
        <w:rPr/>
      </w:pPr>
      <w:r>
        <w:rPr/>
        <w:t>All analysis were done in R (</w:t>
      </w:r>
      <w:hyperlink w:anchor="ref-rcoreteam2020">
        <w:r>
          <w:rPr>
            <w:rStyle w:val="InternetLink"/>
          </w:rPr>
          <w:t>R Core Team 2020</w:t>
        </w:r>
      </w:hyperlink>
      <w:r>
        <w:rPr/>
        <w:t xml:space="preserve">). Butterworth filtering was done using the the </w:t>
      </w:r>
      <w:r>
        <w:rPr>
          <w:i/>
          <w:iCs/>
        </w:rPr>
        <w:t>dlpR</w:t>
      </w:r>
      <w:r>
        <w:rPr/>
        <w:t xml:space="preserve"> package (</w:t>
      </w:r>
      <w:hyperlink w:anchor="ref-bunn2008">
        <w:r>
          <w:rPr>
            <w:rStyle w:val="InternetLink"/>
          </w:rPr>
          <w:t>Bunn 2008</w:t>
        </w:r>
      </w:hyperlink>
      <w:r>
        <w:rPr/>
        <w:t xml:space="preserve">). Autocorrelation function and plots were done in base R. The peaks in the autocorrelation plots were found using the </w:t>
      </w:r>
      <w:r>
        <w:rPr>
          <w:i/>
          <w:iCs/>
        </w:rPr>
        <w:t>pracma</w:t>
      </w:r>
      <w:r>
        <w:rPr/>
        <w:t xml:space="preserve"> package (</w:t>
      </w:r>
      <w:hyperlink w:anchor="ref-hansw.borchers2019">
        <w:r>
          <w:rPr>
            <w:rStyle w:val="InternetLink"/>
          </w:rPr>
          <w:t>Hans W. Borchers 2019</w:t>
        </w:r>
      </w:hyperlink>
      <w:r>
        <w:rPr/>
        <w:t xml:space="preserve">). Lomb-Scargle periodograms were calculated using the </w:t>
      </w:r>
      <w:r>
        <w:rPr>
          <w:i/>
          <w:iCs/>
        </w:rPr>
        <w:t>lomb</w:t>
      </w:r>
      <w:r>
        <w:rPr/>
        <w:t xml:space="preserve"> package (</w:t>
      </w:r>
      <w:hyperlink w:anchor="ref-ruf1999">
        <w:r>
          <w:rPr>
            <w:rStyle w:val="InternetLink"/>
          </w:rPr>
          <w:t>Ruf 1999</w:t>
        </w:r>
      </w:hyperlink>
      <w:r>
        <w:rPr/>
        <w:t>).</w:t>
      </w:r>
      <w:bookmarkStart w:id="9" w:name="X8bda55b0a4c18ba520623e5621099ffce169511"/>
      <w:bookmarkEnd w:id="9"/>
    </w:p>
    <w:p>
      <w:pPr>
        <w:pStyle w:val="Heading3"/>
        <w:rPr/>
      </w:pPr>
      <w:r>
        <w:rPr/>
        <w:t>1.2.10</w:t>
        <w:tab/>
        <w:t>Statistical Analysis</w:t>
      </w:r>
    </w:p>
    <w:p>
      <w:pPr>
        <w:pStyle w:val="FirstParagraph"/>
        <w:rPr/>
      </w:pPr>
      <w:r>
        <w:rPr/>
        <w:t>We tested for seasonal differences in mean daily VeDBA, time spent in each state and diurnality using ANOVA followed by post-hoc Tukey-Kramer’s test. Daily Activity patterns were visualized using Gaussian kernel density estimates.</w:t>
      </w:r>
    </w:p>
    <w:p>
      <w:pPr>
        <w:pStyle w:val="TextBody"/>
        <w:rPr/>
      </w:pPr>
      <w:r>
        <w:rPr/>
        <w:t>The percentage of animals classified as Rhythmic and the values for RI were compared between states only, no seasonal analysis was done for these data. Given that some animals were classified as arrhythmic the sample number for each season was too low to perform a meaningful statistical analysis.</w:t>
      </w:r>
    </w:p>
    <w:p>
      <w:pPr>
        <w:pStyle w:val="TextBody"/>
        <w:rPr/>
      </w:pPr>
      <w:r>
        <w:rPr/>
        <w:t>All analysis were done in R using the base packages (</w:t>
      </w:r>
      <w:hyperlink w:anchor="ref-rcoreteam2020">
        <w:r>
          <w:rPr>
            <w:rStyle w:val="InternetLink"/>
          </w:rPr>
          <w:t>R Core Team 2020</w:t>
        </w:r>
      </w:hyperlink>
      <w:r>
        <w:rPr/>
        <w:t>).</w:t>
      </w:r>
    </w:p>
    <w:p>
      <w:pPr>
        <w:pStyle w:val="Normal"/>
        <w:rPr/>
      </w:pPr>
      <w:r>
        <w:rPr/>
      </w:r>
      <w:bookmarkStart w:id="10" w:name="methods"/>
      <w:bookmarkStart w:id="11" w:name="statistical-analysis"/>
      <w:bookmarkStart w:id="12" w:name="methods"/>
      <w:bookmarkStart w:id="13" w:name="statistical-analysis"/>
      <w:bookmarkEnd w:id="12"/>
      <w:bookmarkEnd w:id="13"/>
      <w:r>
        <w:br w:type="page"/>
      </w:r>
    </w:p>
    <w:p>
      <w:pPr>
        <w:pStyle w:val="Heading2"/>
        <w:numPr>
          <w:ilvl w:val="0"/>
          <w:numId w:val="2"/>
        </w:numPr>
        <w:rPr/>
      </w:pPr>
      <w:r>
        <w:rPr/>
        <w:t>1.3</w:t>
        <w:tab/>
        <w:t>Results</w:t>
      </w:r>
    </w:p>
    <w:p>
      <w:pPr>
        <w:pStyle w:val="FirstParagraph"/>
        <w:rPr/>
      </w:pPr>
      <w:r>
        <w:rPr/>
        <w:t>We captured and deployed collars to 20 females and 10 males. We were able to recapture 24 tuco-tucos and recover 21 collars (Table ??). One collar was found malfunctioning because one animal got predated. The other two lost collars fell or were taken out of the tuco-tuco’s neck between the time of capture and recapture. All 21 animals that were recaptured received a collar containing an accelerometer. However, only 13 also received a lightlogger (Table ??). In total, we have 13 complete datasets, with acceleration and light exposure data, and 8 datasets with acceleration only.</w:t>
      </w:r>
    </w:p>
    <w:p>
      <w:pPr>
        <w:pStyle w:val="Heading3"/>
        <w:rPr/>
      </w:pPr>
      <w:r>
        <w:rPr/>
        <w:t>1.3.1</w:t>
        <w:tab/>
        <w:t>Daily Activity Levels</w:t>
      </w:r>
    </w:p>
    <w:p>
      <w:pPr>
        <w:pStyle w:val="FirstParagraph"/>
        <w:rPr/>
      </w:pPr>
      <w:r>
        <w:rPr/>
        <w:t>Tuco-tuco’s daily activity levels (24-hour average), measured by VeDBA, are significantly different across the year (ANOVA; F = 7.182, p &lt; 0.01; Figure 1.4). Post hoc comparisons using Tukey-Kramer’s Test shows significant group differences between July-October and July-February (p &lt; 0.05). In both pairwise comparisons daily VeDBA levels in July are lower, showing a difference in means of 0.029 g in comparison to October and 0.019 g in comparison to February. In sum, daily VeDBA activity levels are lower in July in comparison to October and February (Fig 1.4).</w:t>
      </w:r>
    </w:p>
    <w:p>
      <w:pPr>
        <w:pStyle w:val="TextBody"/>
        <w:rPr/>
      </w:pPr>
      <w:r>
        <w:rPr/>
        <w:t>The daytime VeDBA (Light Phase Average) is also significantly different between Months (ANOVA; F = 7.282, p &lt; 0.001). Post hoc comparisons using Tukey-Kramer’s Test shows a difference in mean of 0.035 between October-July only (p &lt; 0.05).</w:t>
      </w:r>
    </w:p>
    <w:p>
      <w:pPr>
        <w:pStyle w:val="CaptionedFigure"/>
        <w:rPr/>
      </w:pPr>
      <w:r>
        <w:rPr/>
        <w:drawing>
          <wp:inline distT="0" distB="0" distL="114935" distR="114935">
            <wp:extent cx="5943600" cy="2377440"/>
            <wp:effectExtent l="0" t="0" r="0" b="0"/>
            <wp:docPr id="4" name="Image3" descr="Figure 1.4: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1.4: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pic:cNvPicPr>
                      <a:picLocks noChangeAspect="1" noChangeArrowheads="1"/>
                    </pic:cNvPicPr>
                  </pic:nvPicPr>
                  <pic:blipFill>
                    <a:blip r:embed="rId5"/>
                    <a:stretch>
                      <a:fillRect/>
                    </a:stretch>
                  </pic:blipFill>
                  <pic:spPr bwMode="auto">
                    <a:xfrm>
                      <a:off x="0" y="0"/>
                      <a:ext cx="5943600" cy="2377440"/>
                    </a:xfrm>
                    <a:prstGeom prst="rect">
                      <a:avLst/>
                    </a:prstGeom>
                  </pic:spPr>
                </pic:pic>
              </a:graphicData>
            </a:graphic>
          </wp:inline>
        </w:drawing>
      </w:r>
    </w:p>
    <w:p>
      <w:pPr>
        <w:pStyle w:val="ImageCaption"/>
        <w:rPr/>
      </w:pPr>
      <w:r>
        <w:rPr/>
        <w:t>Figure 1.4: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w:t>
      </w:r>
      <w:bookmarkStart w:id="14" w:name="daily-activity-levels"/>
      <w:bookmarkEnd w:id="14"/>
    </w:p>
    <w:p>
      <w:pPr>
        <w:pStyle w:val="Heading3"/>
        <w:rPr/>
      </w:pPr>
      <w:r>
        <w:rPr/>
        <w:t>1.3.2</w:t>
        <w:tab/>
        <w:t>Activity State Classification</w:t>
      </w:r>
    </w:p>
    <w:p>
      <w:pPr>
        <w:pStyle w:val="FirstParagraph"/>
        <w:rPr/>
      </w:pPr>
      <w:r>
        <w:rPr/>
        <w:t xml:space="preserve">We fitted two different HMMs to VeDBA data, one empty model, with no covariates, and a second one with </w:t>
      </w:r>
      <w:r>
        <w:rPr>
          <w:i/>
          <w:iCs/>
        </w:rPr>
        <w:t>‘season’</w:t>
      </w:r>
      <w:r>
        <w:rPr/>
        <w:t xml:space="preserve"> as a covariate in the transition probability matrix. The second model was selected based on informational criterion (</w:t>
      </w:r>
      <w:r>
        <w:rPr/>
      </w:r>
      <m:oMath xmlns:m="http://schemas.openxmlformats.org/officeDocument/2006/math">
        <m:r>
          <w:rPr>
            <w:rFonts w:ascii="Cambria Math" w:hAnsi="Cambria Math"/>
          </w:rPr>
          <m:t xml:space="preserve">Δ</m:t>
        </m:r>
      </m:oMath>
      <w:r>
        <w:rPr/>
        <w:t>AIC &gt; 2; REF Tabela AIC nos supps).</w:t>
      </w:r>
    </w:p>
    <w:p>
      <w:pPr>
        <w:pStyle w:val="TextBody"/>
        <w:rPr/>
      </w:pPr>
      <w:r>
        <w:rPr/>
        <w:t>The estimated state-dependent distributions are shown in Figure 1.5. We interpreted and labelled these states as ‘Rest,’ ‘Medium intensity activity,’ and ‘High intensity activity’ corresponding to low, intermediate, and high VeDBA values respectively. The marginal distribution (Figure 1.5; dashed line) has a good correspondence to the empirical VeDBA distribution. A visual analysis of the Pseudo-residuals (Figure ??)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 ??).</w:t>
      </w:r>
    </w:p>
    <w:p>
      <w:pPr>
        <w:pStyle w:val="CaptionedFigure"/>
        <w:rPr/>
      </w:pPr>
      <w:r>
        <w:rPr/>
        <w:drawing>
          <wp:inline distT="0" distB="0" distL="114935" distR="114935">
            <wp:extent cx="5943600" cy="3562985"/>
            <wp:effectExtent l="0" t="0" r="0" b="0"/>
            <wp:docPr id="5" name="Image4" descr="Figure 1.5: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1.5: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6"/>
                    <a:stretch>
                      <a:fillRect/>
                    </a:stretch>
                  </pic:blipFill>
                  <pic:spPr bwMode="auto">
                    <a:xfrm>
                      <a:off x="0" y="0"/>
                      <a:ext cx="5943600" cy="3562985"/>
                    </a:xfrm>
                    <a:prstGeom prst="rect">
                      <a:avLst/>
                    </a:prstGeom>
                  </pic:spPr>
                </pic:pic>
              </a:graphicData>
            </a:graphic>
          </wp:inline>
        </w:drawing>
      </w:r>
    </w:p>
    <w:p>
      <w:pPr>
        <w:pStyle w:val="ImageCaption"/>
        <w:rPr/>
      </w:pPr>
      <w:r>
        <w:rPr/>
        <w:t>Figure 1.5: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rPr/>
      </w:pPr>
      <w:r>
        <w:rPr/>
        <w:t>With the state-labeled data we were able to dissociate and visualize the daily patterns of each different state. Actograms and time series plots show how the different states are related to the calculated VeDBA (Figure 1.6). Visual analysis of diel rhythms in VeDBA and in the state-labelled data indicates the daily rhythm is more robust in the High Activity state in comparison to Medium Activity.</w:t>
      </w:r>
    </w:p>
    <w:p>
      <w:pPr>
        <w:pStyle w:val="TextBody"/>
        <w:rPr/>
      </w:pPr>
      <w:r>
        <w:rPr/>
        <w:t>However, despite being more concentrated during the daylight hours, High Activity episodes also occur sporadically during the night. Medium Activity, in turn, seems to be more spread throughout the day with no clear 24-hour rhythm. Individual Actograms for VeDBA and state-labelled data are presented in the Appendix (Figure ??).</w:t>
      </w:r>
    </w:p>
    <w:p>
      <w:pPr>
        <w:pStyle w:val="CaptionedFigure"/>
        <w:rPr/>
      </w:pPr>
      <w:r>
        <w:rPr/>
        <w:drawing>
          <wp:inline distT="0" distB="0" distL="114935" distR="114935">
            <wp:extent cx="5943600" cy="2971800"/>
            <wp:effectExtent l="0" t="0" r="0" b="0"/>
            <wp:docPr id="6" name="Image5" descr="Figure 1.6: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1.6: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pic:cNvPicPr>
                      <a:picLocks noChangeAspect="1" noChangeArrowheads="1"/>
                    </pic:cNvPicPr>
                  </pic:nvPicPr>
                  <pic:blipFill>
                    <a:blip r:embed="rId7"/>
                    <a:stretch>
                      <a:fillRect/>
                    </a:stretch>
                  </pic:blipFill>
                  <pic:spPr bwMode="auto">
                    <a:xfrm>
                      <a:off x="0" y="0"/>
                      <a:ext cx="5943600" cy="2971800"/>
                    </a:xfrm>
                    <a:prstGeom prst="rect">
                      <a:avLst/>
                    </a:prstGeom>
                  </pic:spPr>
                </pic:pic>
              </a:graphicData>
            </a:graphic>
          </wp:inline>
        </w:drawing>
      </w:r>
    </w:p>
    <w:p>
      <w:pPr>
        <w:pStyle w:val="ImageCaption"/>
        <w:rPr/>
      </w:pPr>
      <w:r>
        <w:rPr/>
        <w:t>Figure 1.6: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w:t>
      </w:r>
      <w:bookmarkStart w:id="15" w:name="activity-state-classification"/>
      <w:bookmarkEnd w:id="15"/>
    </w:p>
    <w:p>
      <w:pPr>
        <w:pStyle w:val="Heading3"/>
        <w:rPr/>
      </w:pPr>
      <w:r>
        <w:rPr/>
        <w:t>1.3.3</w:t>
        <w:tab/>
        <w:t>Daily Time-Activity Budgets</w:t>
      </w:r>
    </w:p>
    <w:p>
      <w:pPr>
        <w:pStyle w:val="FirstParagraph"/>
        <w:rPr/>
      </w:pPr>
      <w:r>
        <w:rPr/>
        <w:t>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rPr/>
      </w:pPr>
      <w:r>
        <w:rPr/>
        <w:t>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 1.7; ANOVA: F = 4.457, p = 0.0175) and High Activity State across seasons (Figure 1.7;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 1.7).</w:t>
      </w:r>
    </w:p>
    <w:p>
      <w:pPr>
        <w:pStyle w:val="CaptionedFigure"/>
        <w:rPr/>
      </w:pPr>
      <w:r>
        <w:rPr/>
        <w:drawing>
          <wp:inline distT="0" distB="0" distL="114935" distR="114935">
            <wp:extent cx="5943600" cy="5943600"/>
            <wp:effectExtent l="0" t="0" r="0" b="0"/>
            <wp:docPr id="7" name="Image6" descr="Figure 1.7: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1.7: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8"/>
                    <a:stretch>
                      <a:fillRect/>
                    </a:stretch>
                  </pic:blipFill>
                  <pic:spPr bwMode="auto">
                    <a:xfrm>
                      <a:off x="0" y="0"/>
                      <a:ext cx="5943600" cy="5943600"/>
                    </a:xfrm>
                    <a:prstGeom prst="rect">
                      <a:avLst/>
                    </a:prstGeom>
                  </pic:spPr>
                </pic:pic>
              </a:graphicData>
            </a:graphic>
          </wp:inline>
        </w:drawing>
      </w:r>
    </w:p>
    <w:p>
      <w:pPr>
        <w:pStyle w:val="ImageCaption"/>
        <w:rPr/>
      </w:pPr>
      <w:r>
        <w:rPr/>
        <w:t>Figure 1.7: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pPr>
        <w:pStyle w:val="Normal"/>
        <w:rPr/>
      </w:pPr>
      <w:r>
        <w:rPr/>
      </w:r>
      <w:bookmarkStart w:id="16" w:name="daily-time-activity-budgets"/>
      <w:bookmarkStart w:id="17" w:name="daily-time-activity-budgets"/>
      <w:bookmarkEnd w:id="17"/>
      <w:r>
        <w:br w:type="page"/>
      </w:r>
    </w:p>
    <w:p>
      <w:pPr>
        <w:pStyle w:val="Heading3"/>
        <w:rPr/>
      </w:pPr>
      <w:r>
        <w:rPr/>
        <w:t>1.3.4</w:t>
        <w:tab/>
        <w:t>Daily Activity Patterns</w:t>
      </w:r>
    </w:p>
    <w:p>
      <w:pPr>
        <w:pStyle w:val="FirstParagraph"/>
        <w:rPr/>
      </w:pPr>
      <w:r>
        <w:rPr/>
        <w:t>Daily activity rhythms for each behavioral state are shown in Figure 1.8.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 In turn, Light Exposure patterns changes along the year. In July, the peak of episodes of light exposure is more concentrated in the middle of the day. In other seasons the peak of Light Exposure episodes appears to be bimodal, with a higher peak in the first hours of daylight and a much smaller peak at the end of daylight.</w:t>
      </w:r>
    </w:p>
    <w:p>
      <w:pPr>
        <w:pStyle w:val="Compact"/>
        <w:numPr>
          <w:ilvl w:val="0"/>
          <w:numId w:val="16"/>
        </w:numPr>
        <w:rPr/>
      </w:pPr>
      <w:r>
        <w:rPr/>
        <w:t>REF calculate peak</w:t>
      </w:r>
    </w:p>
    <w:p>
      <w:pPr>
        <w:pStyle w:val="Compact"/>
        <w:numPr>
          <w:ilvl w:val="0"/>
          <w:numId w:val="17"/>
        </w:numPr>
        <w:rPr/>
      </w:pPr>
      <w:r>
        <w:rPr/>
        <w:t>REF adicionar linha do meio dia solar</w:t>
      </w:r>
    </w:p>
    <w:p>
      <w:pPr>
        <w:pStyle w:val="CaptionedFigure"/>
        <w:jc w:val="center"/>
        <w:rPr/>
      </w:pPr>
      <w:r>
        <w:rPr/>
        <w:drawing>
          <wp:inline distT="0" distB="0" distL="114935" distR="114935">
            <wp:extent cx="4444365" cy="7406640"/>
            <wp:effectExtent l="0" t="0" r="0" b="0"/>
            <wp:docPr id="8" name="Image7" descr="Figure 1.8: Density estimates of daily activity patterns of tuco-tucos’ behavioral states. Solid lines indicate the Gaussian kernel density estimates. Light-colored bars show observed distribution of each behavioral state occurrence. The x-axis is hour of the day in Anillaco, La Rioja (UTC-3). Rug lines above the x-axis shows individual occurrences. Dotted vertical lines show time of civil twilights. (A) High Activity State shows a diurnal pattern independent of the time of the year. (B) Medium Activity State shows no daily pattern. (C) Daily pattern of light exposure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1.8: Density estimates of daily activity patterns of tuco-tucos’ behavioral states. Solid lines indicate the Gaussian kernel density estimates. Light-colored bars show observed distribution of each behavioral state occurrence. The x-axis is hour of the day in Anillaco, La Rioja (UTC-3). Rug lines above the x-axis shows individual occurrences. Dotted vertical lines show time of civil twilights. (A) High Activity State shows a diurnal pattern independent of the time of the year. (B) Medium Activity State shows no daily pattern. (C) Daily pattern of light exposure changes according to the season."/>
                    <pic:cNvPicPr>
                      <a:picLocks noChangeAspect="1" noChangeArrowheads="1"/>
                    </pic:cNvPicPr>
                  </pic:nvPicPr>
                  <pic:blipFill>
                    <a:blip r:embed="rId9"/>
                    <a:stretch>
                      <a:fillRect/>
                    </a:stretch>
                  </pic:blipFill>
                  <pic:spPr bwMode="auto">
                    <a:xfrm>
                      <a:off x="0" y="0"/>
                      <a:ext cx="4444365" cy="7406640"/>
                    </a:xfrm>
                    <a:prstGeom prst="rect">
                      <a:avLst/>
                    </a:prstGeom>
                  </pic:spPr>
                </pic:pic>
              </a:graphicData>
            </a:graphic>
          </wp:inline>
        </w:drawing>
      </w:r>
    </w:p>
    <w:p>
      <w:pPr>
        <w:pStyle w:val="ImageCaption"/>
        <w:rPr/>
      </w:pPr>
      <w:r>
        <w:rPr/>
        <w:t>Figure 1.8: Density estimates of daily activity patterns of tuco-tucos’ behavioral states. Solid lines indicate the Gaussian kernel density estimates. Light-colored bars show observed distribution of each behavioral state occurrence. The x-axis is hour of the day in Anillaco, La Rioja (UTC-3). Rug lines above the x-axis shows individual occurrences. Dotted vertical lines show time of civil twilights. (A) High Activity State shows a diurnal pattern independent of the time of the year. (B) Medium Activity State shows no daily pattern. (C) Daily pattern of light exposure changes according to the season.</w:t>
      </w:r>
    </w:p>
    <w:p>
      <w:pPr>
        <w:pStyle w:val="Normal"/>
        <w:rPr/>
      </w:pPr>
      <w:r>
        <w:rPr/>
      </w:r>
      <w:bookmarkStart w:id="18" w:name="daily-activity-patterns"/>
      <w:bookmarkStart w:id="19" w:name="daily-activity-patterns"/>
      <w:bookmarkEnd w:id="19"/>
      <w:r>
        <w:br w:type="page"/>
      </w:r>
    </w:p>
    <w:p>
      <w:pPr>
        <w:pStyle w:val="Heading3"/>
        <w:rPr/>
      </w:pPr>
      <w:r>
        <w:rPr/>
        <w:t>1.3.5</w:t>
        <w:tab/>
        <w:t>Diurnality</w:t>
      </w:r>
    </w:p>
    <w:p>
      <w:pPr>
        <w:pStyle w:val="FirstParagraph"/>
        <w:rPr/>
      </w:pPr>
      <w:r>
        <w:rPr/>
        <w:t>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 1.9).</w:t>
      </w:r>
    </w:p>
    <w:p>
      <w:pPr>
        <w:pStyle w:val="CaptionedFigure"/>
        <w:rPr/>
      </w:pPr>
      <w:r>
        <w:rPr/>
        <w:drawing>
          <wp:inline distT="0" distB="0" distL="114935" distR="114935">
            <wp:extent cx="5943600" cy="2373630"/>
            <wp:effectExtent l="0" t="0" r="0" b="0"/>
            <wp:docPr id="9" name="Image8" descr="Figure 1.9: Distribution of calculated diurnality index (DI). Between labelled states, only the High Activity State is predominantly diurnal, with diurnality greater than 0.7 across all season. General activity, measured by the unlabelled VeDBA, is also predominantly di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1.9: Distribution of calculated diurnality index (DI). Between labelled states, only the High Activity State is predominantly diurnal, with diurnality greater than 0.7 across all season. General activity, measured by the unlabelled VeDBA, is also predominantly diurnal,"/>
                    <pic:cNvPicPr>
                      <a:picLocks noChangeAspect="1" noChangeArrowheads="1"/>
                    </pic:cNvPicPr>
                  </pic:nvPicPr>
                  <pic:blipFill>
                    <a:blip r:embed="rId10"/>
                    <a:stretch>
                      <a:fillRect/>
                    </a:stretch>
                  </pic:blipFill>
                  <pic:spPr bwMode="auto">
                    <a:xfrm>
                      <a:off x="0" y="0"/>
                      <a:ext cx="5943600" cy="2373630"/>
                    </a:xfrm>
                    <a:prstGeom prst="rect">
                      <a:avLst/>
                    </a:prstGeom>
                  </pic:spPr>
                </pic:pic>
              </a:graphicData>
            </a:graphic>
          </wp:inline>
        </w:drawing>
      </w:r>
    </w:p>
    <w:p>
      <w:pPr>
        <w:pStyle w:val="ImageCaption"/>
        <w:rPr/>
      </w:pPr>
      <w:r>
        <w:rPr/>
        <w:t>Figure 1.9: Distribution of calculated diurnality index (DI). Between labelled states, only the High Activity State is predominantly diurnal, with diurnality greater than 0.7 across all season. General activity, measured by the unlabelled VeDBA, is also predominantly diurnal,</w:t>
      </w:r>
    </w:p>
    <w:p>
      <w:pPr>
        <w:pStyle w:val="Normal"/>
        <w:rPr/>
      </w:pPr>
      <w:r>
        <w:rPr/>
      </w:r>
      <w:bookmarkStart w:id="20" w:name="diurnality"/>
      <w:bookmarkStart w:id="21" w:name="diurnality"/>
      <w:bookmarkEnd w:id="21"/>
      <w:r>
        <w:br w:type="page"/>
      </w:r>
    </w:p>
    <w:p>
      <w:pPr>
        <w:pStyle w:val="Heading3"/>
        <w:rPr/>
      </w:pPr>
      <w:r>
        <w:rPr/>
        <w:t>1.3.6</w:t>
        <w:tab/>
        <w:t>Circadian Rhythmicity</w:t>
      </w:r>
    </w:p>
    <w:p>
      <w:pPr>
        <w:pStyle w:val="FirstParagraph"/>
        <w:rPr/>
      </w:pPr>
      <w:r>
        <w:rPr/>
        <w:t>Circadian rhythms are present in all states as seen in the visual analysis of the autocorrelation plots (Table ??; REF APPENDIX - plotar ACFs individuais). The percentage of animals classified as rhythmic is higher for the high activity state, where a total of 18 animals were classified as rhythmic (85.7%). In contrast, the medium activity state had, in total, 11 animals (52.4%) classified as rhythmic (Table ??).</w:t>
      </w:r>
    </w:p>
    <w:p>
      <w:pPr>
        <w:pStyle w:val="CaptionedFigure"/>
        <w:rPr/>
      </w:pPr>
      <w:r>
        <w:rPr/>
        <w:drawing>
          <wp:inline distT="0" distB="0" distL="114935" distR="114935">
            <wp:extent cx="5514340" cy="2757170"/>
            <wp:effectExtent l="0" t="0" r="0" b="0"/>
            <wp:docPr id="10" name="Image9" descr="Figure 1.10: Percentege of animals classified as rhythmic for a circadian component (~24h). Classification of rhythmic animals was done visually using Autocorrelation plots. Animals that showed a rhythmic autocorrelation plot was classified as rhyth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10: Percentege of animals classified as rhythmic for a circadian component (~24h). Classification of rhythmic animals was done visually using Autocorrelation plots. Animals that showed a rhythmic autocorrelation plot was classified as rhythmic."/>
                    <pic:cNvPicPr>
                      <a:picLocks noChangeAspect="1" noChangeArrowheads="1"/>
                    </pic:cNvPicPr>
                  </pic:nvPicPr>
                  <pic:blipFill>
                    <a:blip r:embed="rId11"/>
                    <a:stretch>
                      <a:fillRect/>
                    </a:stretch>
                  </pic:blipFill>
                  <pic:spPr bwMode="auto">
                    <a:xfrm>
                      <a:off x="0" y="0"/>
                      <a:ext cx="5514340" cy="2757170"/>
                    </a:xfrm>
                    <a:prstGeom prst="rect">
                      <a:avLst/>
                    </a:prstGeom>
                  </pic:spPr>
                </pic:pic>
              </a:graphicData>
            </a:graphic>
          </wp:inline>
        </w:drawing>
      </w:r>
    </w:p>
    <w:p>
      <w:pPr>
        <w:pStyle w:val="ImageCaption"/>
        <w:rPr/>
      </w:pPr>
      <w:r>
        <w:rPr/>
        <w:t>Figure 1.10: Percentege of animals classified as rhythmic for a circadian component (~24h). Classification of rhythmic animals was done visually using Autocorrelation plots. Animals that showed a rhythmic autocorrelation plot was classified as rhythmic.</w:t>
      </w:r>
    </w:p>
    <w:p>
      <w:pPr>
        <w:pStyle w:val="TextBody"/>
        <w:rPr/>
      </w:pPr>
      <w:r>
        <w:rPr/>
        <w:t>We calculated the RI only for animals classified as rhythmic (Figure 1.11A). It is important to note that animals classified as arrhythmic were excluded from this analysis, which is why there is a different number of samples between each category. Nonetheless, the Medium Activity State is significantly different from the other states and VeDBA (Figure 1.11A; ANOVA; p &lt; 0.05). We did not test for differences between seasons (See Methods).</w:t>
      </w:r>
    </w:p>
    <w:p>
      <w:pPr>
        <w:pStyle w:val="TextBody"/>
        <w:rPr/>
      </w:pPr>
      <w:r>
        <w:rPr/>
        <w:t>Lastly, we used Lomb-Scargle periodograms to estimate the periodicity of each state (Figure 1.11B). All estimated periods, independent of state, were in the 24-hour range. The high activity state has a mean period ± standard deviation of 23.87h ± 0.34. The medium activity state has a mean period of 23.91h ± 1.22.</w:t>
      </w:r>
    </w:p>
    <w:p>
      <w:pPr>
        <w:pStyle w:val="TextBody"/>
        <w:rPr/>
      </w:pPr>
      <w:r>
        <w:rPr/>
        <w:t>We also estimated RI and periodicity for VeDBA. In comparison with state-labelled data VeDBA analysis are more similar to the high activity state. The number of animals classified as rhythmic based on the autocorrelation plot is similar between VeDBA and high activity state data (Table ??). The distribution of RI shows no difference between High state and VeDBA (Figure 1.11 A). For VeDBA the mean estimated period was 23.91h ± 0.31.</w:t>
      </w:r>
    </w:p>
    <w:p>
      <w:pPr>
        <w:pStyle w:val="CaptionedFigure"/>
        <w:rPr/>
      </w:pPr>
      <w:r>
        <w:rPr/>
        <w:drawing>
          <wp:inline distT="0" distB="0" distL="114935" distR="114935">
            <wp:extent cx="5943600" cy="3962400"/>
            <wp:effectExtent l="0" t="0" r="0" b="0"/>
            <wp:docPr id="11" name="Image10" descr="Figure 1.11: Distribution of Rhythmicity Index for state-labelled data and VeDBA. The distribution of the Medium State is statistically different from all other states and VeDBA. Graphs shows half boxplots and individu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1: Distribution of Rhythmicity Index for state-labelled data and VeDBA. The distribution of the Medium State is statistically different from all other states and VeDBA. Graphs shows half boxplots and individual data"/>
                    <pic:cNvPicPr>
                      <a:picLocks noChangeAspect="1" noChangeArrowheads="1"/>
                    </pic:cNvPicPr>
                  </pic:nvPicPr>
                  <pic:blipFill>
                    <a:blip r:embed="rId12"/>
                    <a:stretch>
                      <a:fillRect/>
                    </a:stretch>
                  </pic:blipFill>
                  <pic:spPr bwMode="auto">
                    <a:xfrm>
                      <a:off x="0" y="0"/>
                      <a:ext cx="5943600" cy="3962400"/>
                    </a:xfrm>
                    <a:prstGeom prst="rect">
                      <a:avLst/>
                    </a:prstGeom>
                  </pic:spPr>
                </pic:pic>
              </a:graphicData>
            </a:graphic>
          </wp:inline>
        </w:drawing>
      </w:r>
    </w:p>
    <w:p>
      <w:pPr>
        <w:pStyle w:val="ImageCaption"/>
        <w:rPr/>
      </w:pPr>
      <w:r>
        <w:rPr/>
        <w:t>Figure 1.11: Distribution of Rhythmicity Index for state-labelled data and VeDBA. The distribution of the Medium State is statistically different from all other states and VeDBA. Graphs shows half boxplots and individual data</w:t>
      </w:r>
    </w:p>
    <w:p>
      <w:pPr>
        <w:pStyle w:val="Normal"/>
        <w:rPr/>
      </w:pPr>
      <w:r>
        <w:rPr/>
      </w:r>
      <w:bookmarkStart w:id="22" w:name="results"/>
      <w:bookmarkStart w:id="23" w:name="circadian-rhythmicity"/>
      <w:bookmarkStart w:id="24" w:name="results"/>
      <w:bookmarkStart w:id="25" w:name="circadian-rhythmicity"/>
      <w:bookmarkEnd w:id="24"/>
      <w:bookmarkEnd w:id="25"/>
      <w:r>
        <w:br w:type="page"/>
      </w:r>
    </w:p>
    <w:p>
      <w:pPr>
        <w:pStyle w:val="Heading2"/>
        <w:numPr>
          <w:ilvl w:val="0"/>
          <w:numId w:val="2"/>
        </w:numPr>
        <w:rPr/>
      </w:pPr>
      <w:r>
        <w:rPr/>
        <w:t>1.4</w:t>
        <w:tab/>
        <w:t>Discussion</w:t>
      </w:r>
    </w:p>
    <w:p>
      <w:pPr>
        <w:pStyle w:val="Normal"/>
        <w:numPr>
          <w:ilvl w:val="0"/>
          <w:numId w:val="18"/>
        </w:numPr>
        <w:rPr/>
      </w:pPr>
      <w:r>
        <w:rPr/>
        <w:t>mencionar que tudo que é medido foi a primeira vez em vida livre</w:t>
      </w:r>
    </w:p>
    <w:p>
      <w:pPr>
        <w:pStyle w:val="Normal"/>
        <w:numPr>
          <w:ilvl w:val="0"/>
          <w:numId w:val="19"/>
        </w:numPr>
        <w:rPr/>
      </w:pPr>
      <w:r>
        <w:rPr/>
        <w:t>Optamos pelo tipo de modelos mais simples com outras a analises a posteriori. Existem outros métodos interessantes Patterson 2009. Extensions to out model could include (…)</w:t>
      </w:r>
    </w:p>
    <w:p>
      <w:pPr>
        <w:pStyle w:val="Compact"/>
        <w:numPr>
          <w:ilvl w:val="1"/>
          <w:numId w:val="20"/>
        </w:numPr>
        <w:rPr/>
      </w:pPr>
      <w:r>
        <w:rPr/>
        <w:t>selecionamos os fatores mais relevantes baseados nas analises exploratorias</w:t>
      </w:r>
    </w:p>
    <w:p>
      <w:pPr>
        <w:pStyle w:val="Normal"/>
        <w:numPr>
          <w:ilvl w:val="0"/>
          <w:numId w:val="21"/>
        </w:numPr>
        <w:rPr/>
      </w:pPr>
      <w:r>
        <w:rPr/>
        <w:t>limitações dos dados de lightlogger: não sabemos se os picos podem se extender durante a noite tbm.</w:t>
      </w:r>
    </w:p>
    <w:p>
      <w:pPr>
        <w:pStyle w:val="Normal"/>
        <w:numPr>
          <w:ilvl w:val="0"/>
          <w:numId w:val="22"/>
        </w:numPr>
        <w:rPr/>
      </w:pPr>
      <w:r>
        <w:rPr/>
        <w:t>discutir as semelhancas entre arena e freeliving</w:t>
      </w:r>
    </w:p>
    <w:p>
      <w:pPr>
        <w:pStyle w:val="Compact"/>
        <w:numPr>
          <w:ilvl w:val="1"/>
          <w:numId w:val="23"/>
        </w:numPr>
        <w:rPr/>
      </w:pPr>
      <w:r>
        <w:rPr/>
        <w:t>o padrão é igual, explicar o que foi visto nas arenas</w:t>
      </w:r>
    </w:p>
    <w:p>
      <w:pPr>
        <w:pStyle w:val="Normal"/>
        <w:numPr>
          <w:ilvl w:val="0"/>
          <w:numId w:val="24"/>
        </w:numPr>
        <w:rPr/>
      </w:pPr>
      <w:r>
        <w:rPr/>
        <w:t>diferença ritmicidade vedba vs estados na ritmicidade</w:t>
      </w:r>
    </w:p>
    <w:p>
      <w:pPr>
        <w:pStyle w:val="Normal"/>
        <w:numPr>
          <w:ilvl w:val="0"/>
          <w:numId w:val="25"/>
        </w:numPr>
        <w:rPr/>
      </w:pPr>
      <w:r>
        <w:rPr/>
        <w:t>falar que nem sempre o HMM é ideal para ritmicidade e diurnalidade</w:t>
      </w:r>
    </w:p>
    <w:p>
      <w:pPr>
        <w:pStyle w:val="Normal"/>
        <w:numPr>
          <w:ilvl w:val="0"/>
          <w:numId w:val="26"/>
        </w:numPr>
        <w:rPr/>
      </w:pPr>
      <w:r>
        <w:rPr/>
        <w:t>uma boa mensagem para deixar pro futuro</w:t>
      </w:r>
    </w:p>
    <w:p>
      <w:pPr>
        <w:pStyle w:val="Normal"/>
        <w:numPr>
          <w:ilvl w:val="0"/>
          <w:numId w:val="27"/>
        </w:numPr>
        <w:rPr/>
      </w:pPr>
      <w:r>
        <w:rPr/>
        <w:t>reler artigo catemeralidade</w:t>
      </w:r>
    </w:p>
    <w:p>
      <w:pPr>
        <w:pStyle w:val="Normal"/>
        <w:numPr>
          <w:ilvl w:val="1"/>
          <w:numId w:val="28"/>
        </w:numPr>
        <w:rPr/>
      </w:pPr>
      <w:r>
        <w:rPr/>
        <w:t>nesse artigo foi percebido varios bouts de atividades</w:t>
      </w:r>
    </w:p>
    <w:p>
      <w:pPr>
        <w:pStyle w:val="Normal"/>
        <w:numPr>
          <w:ilvl w:val="1"/>
          <w:numId w:val="29"/>
        </w:numPr>
        <w:rPr/>
      </w:pPr>
      <w:r>
        <w:rPr/>
        <w:t>tamiris: while not on the wheel they are doing different things</w:t>
      </w:r>
    </w:p>
    <w:p>
      <w:pPr>
        <w:pStyle w:val="Compact"/>
        <w:numPr>
          <w:ilvl w:val="2"/>
          <w:numId w:val="30"/>
        </w:numPr>
        <w:rPr/>
      </w:pPr>
      <w:r>
        <w:rPr/>
        <w:t>não podemos assumir que quando nao está na roda ele está parado</w:t>
      </w:r>
    </w:p>
    <w:p>
      <w:pPr>
        <w:pStyle w:val="Compact"/>
        <w:numPr>
          <w:ilvl w:val="2"/>
          <w:numId w:val="31"/>
        </w:numPr>
        <w:rPr/>
      </w:pPr>
      <w:r>
        <w:rPr/>
        <w:t>erkert artigo + voles lehmann (trabalhos de catemeralidade)</w:t>
      </w:r>
    </w:p>
    <w:p>
      <w:pPr>
        <w:pStyle w:val="Compact"/>
        <w:numPr>
          <w:ilvl w:val="2"/>
          <w:numId w:val="32"/>
        </w:numPr>
        <w:rPr/>
      </w:pPr>
      <w:r>
        <w:rPr/>
        <w:t>esse ponto é essencial para conectar com o que o HMM fez</w:t>
      </w:r>
    </w:p>
    <w:p>
      <w:pPr>
        <w:pStyle w:val="Compact"/>
        <w:numPr>
          <w:ilvl w:val="2"/>
          <w:numId w:val="33"/>
        </w:numPr>
        <w:rPr/>
      </w:pPr>
      <w:r>
        <w:rPr/>
        <w:t>HMM trouxe a tona outros ritmos presentes ao longo de todo dia + o componente circadiano que tbm vemos na roda, p.e.</w:t>
      </w:r>
    </w:p>
    <w:p>
      <w:pPr>
        <w:pStyle w:val="Compact"/>
        <w:numPr>
          <w:ilvl w:val="2"/>
          <w:numId w:val="34"/>
        </w:numPr>
        <w:rPr/>
      </w:pPr>
      <w:r>
        <w:rPr/>
        <w:t>tbm falar que não era possível medir -&gt; tecnologias diferentes.</w:t>
      </w:r>
    </w:p>
    <w:p>
      <w:pPr>
        <w:pStyle w:val="Normal"/>
        <w:numPr>
          <w:ilvl w:val="0"/>
          <w:numId w:val="35"/>
        </w:numPr>
        <w:rPr/>
      </w:pPr>
      <w:r>
        <w:rPr/>
        <w:t>Deixar os eixos como Atividade Geral (VeDBA)</w:t>
      </w:r>
    </w:p>
    <w:p>
      <w:pPr>
        <w:pStyle w:val="Compact"/>
        <w:numPr>
          <w:ilvl w:val="1"/>
          <w:numId w:val="36"/>
        </w:numPr>
        <w:rPr/>
      </w:pPr>
      <w:r>
        <w:rPr/>
        <w:t>colocar apenas na legenda que atividade geral é medida pelo VeDBA</w:t>
      </w:r>
    </w:p>
    <w:p>
      <w:pPr>
        <w:pStyle w:val="Normal"/>
        <w:numPr>
          <w:ilvl w:val="0"/>
          <w:numId w:val="37"/>
        </w:numPr>
        <w:rPr/>
      </w:pPr>
      <w:r>
        <w:rPr/>
        <w:t>Erkert, H.G.; Cramer B. 2006. Chronobiological background to cathemerality: circadian rhythms in Eulemur fulvus albifrons (Prosimili) and Aotus azarai boliviensis (Anthropoidea). Folia Primatologica 77: 87–113.</w:t>
      </w:r>
    </w:p>
    <w:p>
      <w:pPr>
        <w:pStyle w:val="Normal"/>
        <w:numPr>
          <w:ilvl w:val="0"/>
          <w:numId w:val="38"/>
        </w:numPr>
        <w:rPr/>
      </w:pPr>
      <w:r>
        <w:rPr/>
        <w:t>lehmann</w:t>
      </w:r>
    </w:p>
    <w:p>
      <w:pPr>
        <w:pStyle w:val="Normal"/>
        <w:numPr>
          <w:ilvl w:val="0"/>
          <w:numId w:val="39"/>
        </w:numPr>
        <w:rPr/>
      </w:pPr>
      <w:r>
        <w:rPr/>
        <w:t>A atividade “catemera” não era prevista então isso é uma coisa interessante</w:t>
      </w:r>
    </w:p>
    <w:p>
      <w:pPr>
        <w:pStyle w:val="Compact"/>
        <w:numPr>
          <w:ilvl w:val="1"/>
          <w:numId w:val="40"/>
        </w:numPr>
        <w:rPr/>
      </w:pPr>
      <w:r>
        <w:rPr/>
        <w:t>falar que é novo e interessante</w:t>
      </w:r>
    </w:p>
    <w:p>
      <w:pPr>
        <w:pStyle w:val="Compact"/>
        <w:numPr>
          <w:ilvl w:val="1"/>
          <w:numId w:val="41"/>
        </w:numPr>
        <w:rPr/>
      </w:pPr>
      <w:r>
        <w:rPr/>
        <w:t>tudo isso foi medido pq fomos ao campo</w:t>
      </w:r>
    </w:p>
    <w:p>
      <w:pPr>
        <w:pStyle w:val="Compact"/>
        <w:numPr>
          <w:ilvl w:val="1"/>
          <w:numId w:val="42"/>
        </w:numPr>
        <w:rPr/>
      </w:pPr>
      <w:r>
        <w:rPr/>
        <w:t>“</w:t>
      </w:r>
      <w:r>
        <w:rPr/>
        <w:t>qual a relacao entre o circadiano e os ultradianos?”</w:t>
      </w:r>
    </w:p>
    <w:p>
      <w:pPr>
        <w:pStyle w:val="Normal"/>
        <w:rPr/>
      </w:pPr>
      <w:r>
        <w:rPr/>
        <mc:AlternateContent>
          <mc:Choice Requires="wps">
            <w:drawing>
              <wp:inline distT="0" distB="0" distL="0" distR="0">
                <wp:extent cx="5944235" cy="19685"/>
                <wp:effectExtent l="0" t="0" r="0" b="0"/>
                <wp:docPr id="12" name=""/>
                <a:graphic xmlns:a="http://schemas.openxmlformats.org/drawingml/2006/main">
                  <a:graphicData uri="http://schemas.microsoft.com/office/word/2010/wordprocessingShape">
                    <wps:wsp>
                      <wps:cNvSpPr/>
                      <wps:nvSpPr>
                        <wps:cNvPr id="0" name=""/>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fillcolor="white" stroked="t"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p>
    <w:p>
      <w:pPr>
        <w:pStyle w:val="Normal"/>
        <w:numPr>
          <w:ilvl w:val="0"/>
          <w:numId w:val="43"/>
        </w:numPr>
        <w:rPr/>
      </w:pPr>
      <w:r>
        <w:rPr/>
        <w:t>os resultados do indice de ritmicidade devem ser interpretados com cuidado já que existe diferença na classificação dos animais em primeiro lugar.</w:t>
      </w:r>
    </w:p>
    <w:p>
      <w:pPr>
        <w:pStyle w:val="Compact"/>
        <w:numPr>
          <w:ilvl w:val="1"/>
          <w:numId w:val="44"/>
        </w:numPr>
        <w:rPr/>
      </w:pPr>
      <w:r>
        <w:rPr/>
        <w:t>Isso principalmente na hora de interpretar o grafico de boxplot dos RI, entre HIGH e VEDBA.</w:t>
      </w:r>
      <w:bookmarkStart w:id="26" w:name="X825f722398abe1ed63c0d68b1ad1655196b03fa"/>
      <w:bookmarkStart w:id="27" w:name="discussion"/>
      <w:bookmarkEnd w:id="26"/>
      <w:bookmarkEnd w:id="27"/>
    </w:p>
    <w:p>
      <w:pPr>
        <w:pStyle w:val="Heading1"/>
        <w:rPr/>
      </w:pPr>
      <w:r>
        <w:rPr/>
        <w:t>2</w:t>
        <w:tab/>
        <w:t>Anillaco’s Plant Community</w:t>
      </w:r>
    </w:p>
    <w:p>
      <w:pPr>
        <w:pStyle w:val="FirstParagraph"/>
        <w:rPr/>
      </w:pPr>
      <w:r>
        <w:rPr/>
        <w:t>Following methods similar to (</w:t>
      </w:r>
      <w:hyperlink w:anchor="ref-aranda-rickert2014">
        <w:r>
          <w:rPr>
            <w:rStyle w:val="InternetLink"/>
          </w:rPr>
          <w:t>Aranda-Rickert, Diez, and Marazzi 2014</w:t>
        </w:r>
      </w:hyperlink>
      <w:r>
        <w:rPr/>
        <w:t>)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w:t>
      </w:r>
      <w:hyperlink w:anchor="ref-abraham2009">
        <w:r>
          <w:rPr>
            <w:rStyle w:val="InternetLink"/>
          </w:rPr>
          <w:t>Abraham et al. 2009</w:t>
        </w:r>
      </w:hyperlink>
      <w:r>
        <w:rPr/>
        <w:t xml:space="preserve">; </w:t>
      </w:r>
      <w:hyperlink w:anchor="ref-aranda-rickert2014">
        <w:r>
          <w:rPr>
            <w:rStyle w:val="InternetLink"/>
          </w:rPr>
          <w:t>Aranda-Rickert, Diez, and Marazzi 2014</w:t>
        </w:r>
      </w:hyperlink>
      <w:r>
        <w:rPr/>
        <w:t xml:space="preserve">; </w:t>
      </w:r>
      <w:hyperlink w:anchor="ref-fracchia2011">
        <w:r>
          <w:rPr>
            <w:rStyle w:val="InternetLink"/>
          </w:rPr>
          <w:t>Fracchia et al. 2011</w:t>
        </w:r>
      </w:hyperlink>
      <w:r>
        <w:rPr/>
        <w:t>). The results show a dominance of Zygolhyllaceae, Poaceae and Fabaceae families. The relative frequency of plant families and species recorded in the area are shown in the graphs below (Fig. 2.1).</w:t>
      </w:r>
    </w:p>
    <w:p>
      <w:pPr>
        <w:pStyle w:val="CaptionedFigure"/>
        <w:rPr/>
      </w:pPr>
      <w:r>
        <w:rPr/>
        <w:drawing>
          <wp:inline distT="0" distB="0" distL="114935" distR="114935">
            <wp:extent cx="5943600" cy="7264400"/>
            <wp:effectExtent l="0" t="0" r="0" b="0"/>
            <wp:docPr id="13" name="Image11"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ure 2.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13"/>
                    <a:stretch>
                      <a:fillRect/>
                    </a:stretch>
                  </pic:blipFill>
                  <pic:spPr bwMode="auto">
                    <a:xfrm>
                      <a:off x="0" y="0"/>
                      <a:ext cx="5943600" cy="7264400"/>
                    </a:xfrm>
                    <a:prstGeom prst="rect">
                      <a:avLst/>
                    </a:prstGeom>
                  </pic:spPr>
                </pic:pic>
              </a:graphicData>
            </a:graphic>
          </wp:inline>
        </w:drawing>
      </w:r>
    </w:p>
    <w:p>
      <w:pPr>
        <w:pStyle w:val="ImageCaption"/>
        <w:rPr/>
      </w:pPr>
      <w:r>
        <w:rPr/>
        <w:t>Figure 2.1: Relative frequency of plants family (A) and species (B) in three transects near the Study Site. The plant community is dominated by members of the Zygolhyllaceae, Poaceae and Fabaceae families and is in accordance with what has been described in the literature. (n = 145)</w:t>
      </w:r>
      <w:bookmarkStart w:id="28" w:name="anillacos-plant-community"/>
      <w:bookmarkEnd w:id="28"/>
    </w:p>
    <w:p>
      <w:pPr>
        <w:pStyle w:val="Heading1"/>
        <w:rPr/>
      </w:pPr>
      <w:r>
        <w:rPr/>
        <w:t>3</w:t>
        <w:tab/>
        <w:t>Anillaco’s Weather</w:t>
      </w:r>
    </w:p>
    <w:p>
      <w:pPr>
        <w:pStyle w:val="CaptionedFigure"/>
        <w:rPr/>
      </w:pPr>
      <w:r>
        <w:rPr/>
        <w:drawing>
          <wp:inline distT="0" distB="0" distL="114935" distR="114935">
            <wp:extent cx="5943600" cy="6604000"/>
            <wp:effectExtent l="0" t="0" r="0" b="0"/>
            <wp:docPr id="14" name="Image12" descr="Figure 3.1: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ure 3.1: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14"/>
                    <a:stretch>
                      <a:fillRect/>
                    </a:stretch>
                  </pic:blipFill>
                  <pic:spPr bwMode="auto">
                    <a:xfrm>
                      <a:off x="0" y="0"/>
                      <a:ext cx="5943600" cy="6604000"/>
                    </a:xfrm>
                    <a:prstGeom prst="rect">
                      <a:avLst/>
                    </a:prstGeom>
                  </pic:spPr>
                </pic:pic>
              </a:graphicData>
            </a:graphic>
          </wp:inline>
        </w:drawing>
      </w:r>
    </w:p>
    <w:p>
      <w:pPr>
        <w:pStyle w:val="ImageCaption"/>
        <w:rPr/>
      </w:pPr>
      <w:r>
        <w:rPr/>
        <w:t>Figure 3.1: Temperature and Rainfall yearly trends in Anillaco, Argentina. Data was collected in the years 2017 and 2019 from a weather Station (Vantage Pro 2, Davis Instuments. USA.) maintened in CRILAR, aproximately 5km away from the study site.</w:t>
      </w:r>
      <w:bookmarkStart w:id="29" w:name="anillacos-weather"/>
      <w:bookmarkEnd w:id="29"/>
    </w:p>
    <w:p>
      <w:pPr>
        <w:pStyle w:val="Heading1"/>
        <w:rPr/>
      </w:pPr>
      <w:r>
        <w:rPr/>
        <w:t>4</w:t>
        <w:tab/>
        <w:t>Anillaco’s Yearly Daylength Changes</w:t>
      </w:r>
    </w:p>
    <w:p>
      <w:pPr>
        <w:pStyle w:val="Compact"/>
        <w:numPr>
          <w:ilvl w:val="0"/>
          <w:numId w:val="45"/>
        </w:numPr>
        <w:rPr/>
      </w:pPr>
      <w:r>
        <w:rPr/>
        <w:t>Adicionar tabela com duração do dia nas datas de coleta</w:t>
      </w:r>
    </w:p>
    <w:p>
      <w:pPr>
        <w:pStyle w:val="CaptionedFigure"/>
        <w:rPr/>
      </w:pPr>
      <w:r>
        <w:rPr/>
        <w:drawing>
          <wp:inline distT="0" distB="0" distL="114935" distR="114935">
            <wp:extent cx="5943600" cy="2971800"/>
            <wp:effectExtent l="0" t="0" r="0" b="0"/>
            <wp:docPr id="15" name="Image13" descr="Figure 4.1: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ure 4.1: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15"/>
                    <a:stretch>
                      <a:fillRect/>
                    </a:stretch>
                  </pic:blipFill>
                  <pic:spPr bwMode="auto">
                    <a:xfrm>
                      <a:off x="0" y="0"/>
                      <a:ext cx="5943600" cy="2971800"/>
                    </a:xfrm>
                    <a:prstGeom prst="rect">
                      <a:avLst/>
                    </a:prstGeom>
                  </pic:spPr>
                </pic:pic>
              </a:graphicData>
            </a:graphic>
          </wp:inline>
        </w:drawing>
      </w:r>
    </w:p>
    <w:p>
      <w:pPr>
        <w:pStyle w:val="ImageCaption"/>
        <w:rPr/>
      </w:pPr>
      <w:r>
        <w:rPr/>
        <w:t>Figure 4.1: Changes in daytime changes across the year in Anillaco, La Rioja. Maximum duration of daytime, during summer, is 14 hours and 53 minutes. Mininum duration of daytime, during winter, is 11 hours and 10 minutes.</w:t>
      </w:r>
      <w:bookmarkStart w:id="30" w:name="anillacos-yearly-daylength-changes"/>
      <w:bookmarkEnd w:id="30"/>
    </w:p>
    <w:p>
      <w:pPr>
        <w:pStyle w:val="Heading1"/>
        <w:rPr/>
      </w:pPr>
      <w:r>
        <w:rPr/>
        <w:t>5</w:t>
        <w:tab/>
        <w:t>Static Acceleration Smooth Window Assessment</w:t>
      </w:r>
    </w:p>
    <w:p>
      <w:pPr>
        <w:pStyle w:val="FirstParagraph"/>
        <w:rPr/>
      </w:pPr>
      <w:r>
        <w:rPr/>
        <w:drawing>
          <wp:inline distT="0" distB="0" distL="114935" distR="114935">
            <wp:extent cx="5943600" cy="6604000"/>
            <wp:effectExtent l="0" t="0" r="0" b="0"/>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6"/>
                    <a:stretch>
                      <a:fillRect/>
                    </a:stretch>
                  </pic:blipFill>
                  <pic:spPr bwMode="auto">
                    <a:xfrm>
                      <a:off x="0" y="0"/>
                      <a:ext cx="5943600" cy="6604000"/>
                    </a:xfrm>
                    <a:prstGeom prst="rect">
                      <a:avLst/>
                    </a:prstGeom>
                  </pic:spPr>
                </pic:pic>
              </a:graphicData>
            </a:graphic>
          </wp:inline>
        </w:drawing>
      </w:r>
      <w:bookmarkStart w:id="31" w:name="Xcbc62cc38c208a197767bb756a67ae1c5233e9c"/>
      <w:bookmarkEnd w:id="31"/>
    </w:p>
    <w:p>
      <w:pPr>
        <w:pStyle w:val="Heading1"/>
        <w:rPr/>
      </w:pPr>
      <w:r>
        <w:rPr/>
        <w:t>6</w:t>
        <w:tab/>
        <w:t>Exploratory VeDBA data Analysis</w:t>
      </w:r>
      <w:bookmarkStart w:id="32" w:name="exploratory-vedba-data-analysis"/>
      <w:bookmarkEnd w:id="32"/>
    </w:p>
    <w:p>
      <w:pPr>
        <w:pStyle w:val="Heading1"/>
        <w:rPr/>
      </w:pPr>
      <w:r>
        <w:rPr/>
        <w:t>7</w:t>
        <w:tab/>
        <w:t>HMM AIC</w:t>
      </w:r>
    </w:p>
    <w:p>
      <w:pPr>
        <w:pStyle w:val="Compact"/>
        <w:numPr>
          <w:ilvl w:val="0"/>
          <w:numId w:val="46"/>
        </w:numPr>
        <w:rPr/>
      </w:pPr>
      <w:r>
        <w:rPr/>
        <w:t>Adicionar o LL</w:t>
      </w:r>
    </w:p>
    <w:p>
      <w:pPr>
        <w:pStyle w:val="FirstParagraph"/>
        <w:rPr/>
      </w:pPr>
      <w:r>
        <w:rPr/>
        <w:drawing>
          <wp:inline distT="0" distB="0" distL="114935" distR="114935">
            <wp:extent cx="4620260" cy="3696335"/>
            <wp:effectExtent l="0" t="0" r="0" b="0"/>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7"/>
                    <a:stretch>
                      <a:fillRect/>
                    </a:stretch>
                  </pic:blipFill>
                  <pic:spPr bwMode="auto">
                    <a:xfrm>
                      <a:off x="0" y="0"/>
                      <a:ext cx="4620260" cy="3696335"/>
                    </a:xfrm>
                    <a:prstGeom prst="rect">
                      <a:avLst/>
                    </a:prstGeom>
                  </pic:spPr>
                </pic:pic>
              </a:graphicData>
            </a:graphic>
          </wp:inline>
        </w:drawing>
      </w:r>
      <w:bookmarkStart w:id="33" w:name="hmm-aic"/>
      <w:bookmarkEnd w:id="33"/>
    </w:p>
    <w:p>
      <w:pPr>
        <w:pStyle w:val="Heading1"/>
        <w:rPr/>
      </w:pPr>
      <w:r>
        <w:rPr/>
        <w:t>8</w:t>
        <w:tab/>
        <w:t>HMM Estimated Parameters</w:t>
      </w:r>
    </w:p>
    <w:p>
      <w:pPr>
        <w:pStyle w:val="FirstParagraph"/>
        <w:rPr/>
      </w:pPr>
      <w:r>
        <w:rPr/>
        <w:drawing>
          <wp:inline distT="0" distB="0" distL="114935" distR="114935">
            <wp:extent cx="4620260" cy="3696335"/>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8"/>
                    <a:stretch>
                      <a:fillRect/>
                    </a:stretch>
                  </pic:blipFill>
                  <pic:spPr bwMode="auto">
                    <a:xfrm>
                      <a:off x="0" y="0"/>
                      <a:ext cx="4620260" cy="3696335"/>
                    </a:xfrm>
                    <a:prstGeom prst="rect">
                      <a:avLst/>
                    </a:prstGeom>
                  </pic:spPr>
                </pic:pic>
              </a:graphicData>
            </a:graphic>
          </wp:inline>
        </w:drawing>
      </w:r>
      <w:bookmarkStart w:id="34" w:name="hmm-estimated-parameters"/>
      <w:bookmarkEnd w:id="34"/>
    </w:p>
    <w:p>
      <w:pPr>
        <w:pStyle w:val="Heading1"/>
        <w:rPr/>
      </w:pPr>
      <w:r>
        <w:rPr/>
        <w:t>9</w:t>
        <w:tab/>
        <w:t>HMM Pseudo-residuals</w:t>
      </w:r>
    </w:p>
    <w:p>
      <w:pPr>
        <w:pStyle w:val="FirstParagraph"/>
        <w:rPr/>
      </w:pPr>
      <w:r>
        <w:rPr/>
        <w:drawing>
          <wp:inline distT="0" distB="0" distL="114935" distR="114935">
            <wp:extent cx="5943600" cy="495300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19"/>
                    <a:stretch>
                      <a:fillRect/>
                    </a:stretch>
                  </pic:blipFill>
                  <pic:spPr bwMode="auto">
                    <a:xfrm>
                      <a:off x="0" y="0"/>
                      <a:ext cx="5943600" cy="4953000"/>
                    </a:xfrm>
                    <a:prstGeom prst="rect">
                      <a:avLst/>
                    </a:prstGeom>
                  </pic:spPr>
                </pic:pic>
              </a:graphicData>
            </a:graphic>
          </wp:inline>
        </w:drawing>
      </w:r>
      <w:bookmarkStart w:id="35" w:name="hmm-pseudo-residuals"/>
      <w:bookmarkEnd w:id="35"/>
    </w:p>
    <w:p>
      <w:pPr>
        <w:pStyle w:val="Heading1"/>
        <w:rPr/>
      </w:pPr>
      <w:r>
        <w:rPr/>
        <w:t>10</w:t>
        <w:tab/>
        <w:t>Individual VeDBA Actograms</w:t>
      </w:r>
    </w:p>
    <w:p>
      <w:pPr>
        <w:pStyle w:val="FirstParagraph"/>
        <w:rPr/>
      </w:pPr>
      <w:r>
        <w:rPr/>
        <w:drawing>
          <wp:inline distT="0" distB="0" distL="114935" distR="114935">
            <wp:extent cx="5943600" cy="8209915"/>
            <wp:effectExtent l="0" t="0" r="0" b="0"/>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0"/>
                    <a:stretch>
                      <a:fillRect/>
                    </a:stretch>
                  </pic:blipFill>
                  <pic:spPr bwMode="auto">
                    <a:xfrm>
                      <a:off x="0" y="0"/>
                      <a:ext cx="5943600" cy="8209915"/>
                    </a:xfrm>
                    <a:prstGeom prst="rect">
                      <a:avLst/>
                    </a:prstGeom>
                  </pic:spPr>
                </pic:pic>
              </a:graphicData>
            </a:graphic>
          </wp:inline>
        </w:drawing>
      </w:r>
      <w:bookmarkStart w:id="36" w:name="individual-vedba-actograms"/>
      <w:bookmarkEnd w:id="36"/>
    </w:p>
    <w:p>
      <w:pPr>
        <w:pStyle w:val="Heading1"/>
        <w:rPr/>
      </w:pPr>
      <w:r>
        <w:rPr/>
        <w:t>11</w:t>
        <w:tab/>
        <w:t>Individual High Activity Actograms</w:t>
      </w:r>
    </w:p>
    <w:p>
      <w:pPr>
        <w:pStyle w:val="FirstParagraph"/>
        <w:rPr/>
      </w:pPr>
      <w:r>
        <w:rPr/>
        <w:drawing>
          <wp:inline distT="0" distB="0" distL="114935" distR="114935">
            <wp:extent cx="5943600" cy="8209915"/>
            <wp:effectExtent l="0" t="0" r="0" b="0"/>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1"/>
                    <a:stretch>
                      <a:fillRect/>
                    </a:stretch>
                  </pic:blipFill>
                  <pic:spPr bwMode="auto">
                    <a:xfrm>
                      <a:off x="0" y="0"/>
                      <a:ext cx="5943600" cy="8209915"/>
                    </a:xfrm>
                    <a:prstGeom prst="rect">
                      <a:avLst/>
                    </a:prstGeom>
                  </pic:spPr>
                </pic:pic>
              </a:graphicData>
            </a:graphic>
          </wp:inline>
        </w:drawing>
      </w:r>
      <w:bookmarkStart w:id="37" w:name="individual-high-activity-actograms"/>
      <w:bookmarkEnd w:id="37"/>
    </w:p>
    <w:p>
      <w:pPr>
        <w:pStyle w:val="Heading1"/>
        <w:rPr/>
      </w:pPr>
      <w:r>
        <w:rPr/>
        <w:t>12</w:t>
        <w:tab/>
        <w:t>Individual Medium Activity Actograms</w:t>
      </w:r>
    </w:p>
    <w:p>
      <w:pPr>
        <w:pStyle w:val="FirstParagraph"/>
        <w:rPr/>
      </w:pPr>
      <w:r>
        <w:rPr/>
        <w:drawing>
          <wp:inline distT="0" distB="0" distL="114935" distR="114935">
            <wp:extent cx="5943600" cy="8209915"/>
            <wp:effectExtent l="0" t="0" r="0" b="0"/>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2"/>
                    <a:stretch>
                      <a:fillRect/>
                    </a:stretch>
                  </pic:blipFill>
                  <pic:spPr bwMode="auto">
                    <a:xfrm>
                      <a:off x="0" y="0"/>
                      <a:ext cx="5943600" cy="8209915"/>
                    </a:xfrm>
                    <a:prstGeom prst="rect">
                      <a:avLst/>
                    </a:prstGeom>
                  </pic:spPr>
                </pic:pic>
              </a:graphicData>
            </a:graphic>
          </wp:inline>
        </w:drawing>
      </w:r>
      <w:bookmarkStart w:id="38" w:name="individual-medium-activity-actograms"/>
      <w:bookmarkEnd w:id="38"/>
    </w:p>
    <w:p>
      <w:pPr>
        <w:pStyle w:val="Heading1"/>
        <w:rPr/>
      </w:pPr>
      <w:r>
        <w:rPr/>
        <w:t>13</w:t>
        <w:tab/>
        <w:t>Individual Rhythmicity Plots</w:t>
      </w:r>
    </w:p>
    <w:p>
      <w:pPr>
        <w:pStyle w:val="FirstParagraph"/>
        <w:rPr/>
      </w:pPr>
      <w:r>
        <w:rPr/>
        <w:drawing>
          <wp:inline distT="0" distB="0" distL="114935" distR="114935">
            <wp:extent cx="5943600" cy="8208645"/>
            <wp:effectExtent l="0" t="0" r="0" b="0"/>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3"/>
                    <a:stretch>
                      <a:fillRect/>
                    </a:stretch>
                  </pic:blipFill>
                  <pic:spPr bwMode="auto">
                    <a:xfrm>
                      <a:off x="0" y="0"/>
                      <a:ext cx="5943600" cy="8208645"/>
                    </a:xfrm>
                    <a:prstGeom prst="rect">
                      <a:avLst/>
                    </a:prstGeom>
                  </pic:spPr>
                </pic:pic>
              </a:graphicData>
            </a:graphic>
          </wp:inline>
        </w:drawing>
      </w:r>
      <w:bookmarkStart w:id="39" w:name="individual-rhythmicity-plots"/>
      <w:bookmarkEnd w:id="39"/>
    </w:p>
    <w:p>
      <w:pPr>
        <w:pStyle w:val="Heading1"/>
        <w:rPr/>
      </w:pPr>
      <w:r>
        <w:rPr/>
        <w:t>14</w:t>
        <w:tab/>
        <w:t>Individual Period Estimation</w:t>
      </w:r>
    </w:p>
    <w:p>
      <w:pPr>
        <w:pStyle w:val="FirstParagraph"/>
        <w:rPr/>
      </w:pPr>
      <w:r>
        <w:rPr/>
        <w:drawing>
          <wp:inline distT="0" distB="0" distL="114935" distR="114935">
            <wp:extent cx="5943600" cy="8208645"/>
            <wp:effectExtent l="0" t="0" r="0" b="0"/>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4"/>
                    <a:stretch>
                      <a:fillRect/>
                    </a:stretch>
                  </pic:blipFill>
                  <pic:spPr bwMode="auto">
                    <a:xfrm>
                      <a:off x="0" y="0"/>
                      <a:ext cx="5943600" cy="8208645"/>
                    </a:xfrm>
                    <a:prstGeom prst="rect">
                      <a:avLst/>
                    </a:prstGeom>
                  </pic:spPr>
                </pic:pic>
              </a:graphicData>
            </a:graphic>
          </wp:inline>
        </w:drawing>
      </w:r>
      <w:bookmarkStart w:id="40" w:name="individual-period-estimation"/>
      <w:bookmarkEnd w:id="40"/>
    </w:p>
    <w:p>
      <w:pPr>
        <w:pStyle w:val="Heading1"/>
        <w:rPr/>
      </w:pPr>
      <w:r>
        <w:rPr/>
        <w:t>References</w:t>
      </w:r>
    </w:p>
    <w:p>
      <w:pPr>
        <w:pStyle w:val="FirstParagraph"/>
        <w:rPr/>
      </w:pPr>
      <w:r>
        <w:rPr/>
      </w:r>
    </w:p>
    <w:p>
      <w:pPr>
        <w:pStyle w:val="Bibliography"/>
        <w:rPr/>
      </w:pPr>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25">
        <w:r>
          <w:rPr>
            <w:rStyle w:val="InternetLink"/>
          </w:rPr>
          <w:t>https://doi.org/10.1016/j.jaridenv.2008.09.028</w:t>
        </w:r>
      </w:hyperlink>
      <w:r>
        <w:rPr/>
        <w:t>.</w:t>
      </w:r>
      <w:bookmarkStart w:id="41" w:name="ref-abraham2009"/>
      <w:bookmarkEnd w:id="41"/>
    </w:p>
    <w:p>
      <w:pPr>
        <w:pStyle w:val="Bibliography"/>
        <w:rPr/>
      </w:pPr>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26">
        <w:r>
          <w:rPr>
            <w:rStyle w:val="InternetLink"/>
          </w:rPr>
          <w:t>https://doi.org/10.7717/peerj.2559</w:t>
        </w:r>
      </w:hyperlink>
      <w:r>
        <w:rPr/>
        <w:t>.</w:t>
      </w:r>
      <w:bookmarkStart w:id="42" w:name="ref-amaya2016"/>
      <w:bookmarkEnd w:id="42"/>
    </w:p>
    <w:p>
      <w:pPr>
        <w:pStyle w:val="Bibliography"/>
        <w:rPr/>
      </w:pPr>
      <w:r>
        <w:rPr/>
        <w:t xml:space="preserve">Aranda-Rickert, Adriana, Patricia Diez, and Brigitte Marazzi. 2014. “Extrafloral Nectar Fuels Ant Life in Deserts.” </w:t>
      </w:r>
      <w:r>
        <w:rPr>
          <w:i/>
          <w:iCs/>
        </w:rPr>
        <w:t>AoB PLANTS</w:t>
      </w:r>
      <w:r>
        <w:rPr/>
        <w:t xml:space="preserve"> 6 (January). </w:t>
      </w:r>
      <w:hyperlink r:id="rId27">
        <w:r>
          <w:rPr>
            <w:rStyle w:val="InternetLink"/>
          </w:rPr>
          <w:t>https://doi.org/10.1093/aobpla/plu068</w:t>
        </w:r>
      </w:hyperlink>
      <w:r>
        <w:rPr/>
        <w:t>.</w:t>
      </w:r>
      <w:bookmarkStart w:id="43" w:name="ref-aranda-rickert2014"/>
      <w:bookmarkEnd w:id="43"/>
    </w:p>
    <w:p>
      <w:pPr>
        <w:pStyle w:val="Bibliography"/>
        <w:rPr/>
      </w:pPr>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28">
        <w:r>
          <w:rPr>
            <w:rStyle w:val="InternetLink"/>
          </w:rPr>
          <w:t>https://doi.org/10.1111/j.1570-7458.2011.01111.x</w:t>
        </w:r>
      </w:hyperlink>
      <w:r>
        <w:rPr/>
        <w:t>.</w:t>
      </w:r>
      <w:bookmarkStart w:id="44" w:name="ref-aranda-rickert2011a"/>
      <w:bookmarkEnd w:id="44"/>
    </w:p>
    <w:p>
      <w:pPr>
        <w:pStyle w:val="Bibliography"/>
        <w:rPr/>
      </w:pPr>
      <w:r>
        <w:rPr/>
        <w:t xml:space="preserve">Bivand, Roger, and Nicholas Lewin-Koh. 2020. “Maptools: Tools for Handling Spatial Objects.” </w:t>
      </w:r>
      <w:hyperlink r:id="rId29">
        <w:r>
          <w:rPr>
            <w:rStyle w:val="InternetLink"/>
          </w:rPr>
          <w:t>https://CRAN.R-project.org/package=maptools</w:t>
        </w:r>
      </w:hyperlink>
      <w:r>
        <w:rPr/>
        <w:t>.</w:t>
      </w:r>
      <w:bookmarkStart w:id="45" w:name="ref-bivand2020"/>
      <w:bookmarkEnd w:id="45"/>
    </w:p>
    <w:p>
      <w:pPr>
        <w:pStyle w:val="Bibliography"/>
        <w:rPr/>
      </w:pPr>
      <w:r>
        <w:rPr/>
        <w:t xml:space="preserve">Bunn, Andrew G. 2008. “A Dendrochronology Program Library in R (dplR).” </w:t>
      </w:r>
      <w:r>
        <w:rPr>
          <w:i/>
          <w:iCs/>
        </w:rPr>
        <w:t>Dendrochronologia</w:t>
      </w:r>
      <w:r>
        <w:rPr/>
        <w:t xml:space="preserve"> 26 (2): 115–24. </w:t>
      </w:r>
      <w:hyperlink r:id="rId30">
        <w:r>
          <w:rPr>
            <w:rStyle w:val="InternetLink"/>
          </w:rPr>
          <w:t>https://doi.org/10.1016/j.dendro.2008.01.002</w:t>
        </w:r>
      </w:hyperlink>
      <w:r>
        <w:rPr/>
        <w:t>.</w:t>
      </w:r>
      <w:bookmarkStart w:id="46" w:name="ref-bunn2008"/>
      <w:bookmarkEnd w:id="46"/>
    </w:p>
    <w:p>
      <w:pPr>
        <w:pStyle w:val="Bibliography"/>
        <w:rPr/>
      </w:pPr>
      <w:r>
        <w:rPr/>
        <w:t xml:space="preserve">Burnham, Kenneth P., David Raymond Anderson, and Kenneth P. Burnham. 2002. </w:t>
      </w:r>
      <w:r>
        <w:rPr>
          <w:i/>
          <w:iCs/>
        </w:rPr>
        <w:t>Model Selection and Multimodel Inference: A Practical Information-Theoretic Approach</w:t>
      </w:r>
      <w:r>
        <w:rPr/>
        <w:t>. 2nd ed. New York: Springer.</w:t>
      </w:r>
      <w:bookmarkStart w:id="47" w:name="ref-burnham2002"/>
      <w:bookmarkEnd w:id="47"/>
    </w:p>
    <w:p>
      <w:pPr>
        <w:pStyle w:val="Bibliography"/>
        <w:rPr/>
      </w:pPr>
      <w:r>
        <w:rPr/>
        <w:t xml:space="preserve">Dowse, Harold B. 2009. “Chapter 6 Analyses for Physiological and Behavioral Rhythmicity.” In, 454:141–74. Elsevier. </w:t>
      </w:r>
      <w:hyperlink r:id="rId31">
        <w:r>
          <w:rPr>
            <w:rStyle w:val="InternetLink"/>
          </w:rPr>
          <w:t>https://doi.org/10.1016/S0076-6879(08)03806-8</w:t>
        </w:r>
      </w:hyperlink>
      <w:r>
        <w:rPr/>
        <w:t>.</w:t>
      </w:r>
      <w:bookmarkStart w:id="48" w:name="ref-dowse2009"/>
      <w:bookmarkEnd w:id="48"/>
    </w:p>
    <w:p>
      <w:pPr>
        <w:pStyle w:val="Bibliography"/>
        <w:rPr/>
      </w:pPr>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32">
        <w:r>
          <w:rPr>
            <w:rStyle w:val="InternetLink"/>
          </w:rPr>
          <w:t>https://doi.org/10.1016/j.jaridenv.2011.04.034</w:t>
        </w:r>
      </w:hyperlink>
      <w:r>
        <w:rPr/>
        <w:t>.</w:t>
      </w:r>
      <w:bookmarkStart w:id="49" w:name="ref-fracchia2011"/>
      <w:bookmarkEnd w:id="49"/>
    </w:p>
    <w:p>
      <w:pPr>
        <w:pStyle w:val="Bibliography"/>
        <w:rPr/>
      </w:pPr>
      <w:r>
        <w:rPr/>
        <w:t xml:space="preserve">Halle, S., and Nils Chr Stenseth, eds. 2000. </w:t>
      </w:r>
      <w:r>
        <w:rPr>
          <w:i/>
          <w:iCs/>
        </w:rPr>
        <w:t>Activity Patterns in Small Mammals: An Ecological Approach</w:t>
      </w:r>
      <w:r>
        <w:rPr/>
        <w:t>. Ecological Studies, v. 141. Berlin ; New York: Springer.</w:t>
      </w:r>
      <w:bookmarkStart w:id="50" w:name="ref-activity2000"/>
      <w:bookmarkEnd w:id="50"/>
    </w:p>
    <w:p>
      <w:pPr>
        <w:pStyle w:val="Bibliography"/>
        <w:rPr/>
      </w:pPr>
      <w:r>
        <w:rPr/>
        <w:t xml:space="preserve">Hans W. Borchers. 2019. “Pracma: Practical Numerical Math Functions.” </w:t>
      </w:r>
      <w:hyperlink r:id="rId33">
        <w:r>
          <w:rPr>
            <w:rStyle w:val="InternetLink"/>
          </w:rPr>
          <w:t>https://CRAN.R-project.org/package=pracma</w:t>
        </w:r>
      </w:hyperlink>
      <w:r>
        <w:rPr/>
        <w:t>.</w:t>
      </w:r>
      <w:bookmarkStart w:id="51" w:name="ref-hansw.borchers2019"/>
      <w:bookmarkEnd w:id="51"/>
    </w:p>
    <w:p>
      <w:pPr>
        <w:pStyle w:val="Bibliography"/>
        <w:rPr/>
      </w:pPr>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34">
        <w:r>
          <w:rPr>
            <w:rStyle w:val="InternetLink"/>
          </w:rPr>
          <w:t>https://doi.org/10.1093/conphys/coz044</w:t>
        </w:r>
      </w:hyperlink>
      <w:r>
        <w:rPr/>
        <w:t>.</w:t>
      </w:r>
      <w:bookmarkStart w:id="52" w:name="ref-jannetti2019"/>
      <w:bookmarkEnd w:id="52"/>
    </w:p>
    <w:p>
      <w:pPr>
        <w:pStyle w:val="Bibliography"/>
        <w:rPr/>
      </w:pPr>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35">
        <w:r>
          <w:rPr>
            <w:rStyle w:val="InternetLink"/>
          </w:rPr>
          <w:t>https://doi.org/10.1890/11-2241.1</w:t>
        </w:r>
      </w:hyperlink>
      <w:r>
        <w:rPr/>
        <w:t>.</w:t>
      </w:r>
      <w:bookmarkStart w:id="53" w:name="ref-langrock2012"/>
      <w:bookmarkEnd w:id="53"/>
    </w:p>
    <w:p>
      <w:pPr>
        <w:pStyle w:val="Bibliography"/>
        <w:rPr/>
      </w:pPr>
      <w:r>
        <w:rPr/>
        <w:t xml:space="preserve">Leise, Tanya L. 2017. “Analysis of Nonstationary Time Series for Biological Rhythms Research.” </w:t>
      </w:r>
      <w:r>
        <w:rPr>
          <w:i/>
          <w:iCs/>
        </w:rPr>
        <w:t>Journal of Biological Rhythms</w:t>
      </w:r>
      <w:r>
        <w:rPr/>
        <w:t xml:space="preserve"> 32 (3): 187–94. </w:t>
      </w:r>
      <w:hyperlink r:id="rId36">
        <w:r>
          <w:rPr>
            <w:rStyle w:val="InternetLink"/>
          </w:rPr>
          <w:t>https://doi.org/10.1177/0748730417709105</w:t>
        </w:r>
      </w:hyperlink>
      <w:r>
        <w:rPr/>
        <w:t>.</w:t>
      </w:r>
      <w:bookmarkStart w:id="54" w:name="ref-leise2017"/>
      <w:bookmarkEnd w:id="54"/>
    </w:p>
    <w:p>
      <w:pPr>
        <w:pStyle w:val="Bibliography"/>
        <w:rPr/>
      </w:pPr>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37">
        <w:r>
          <w:rPr>
            <w:rStyle w:val="InternetLink"/>
          </w:rPr>
          <w:t>https://doi.org/10.1111/2041-210X.12657</w:t>
        </w:r>
      </w:hyperlink>
      <w:r>
        <w:rPr/>
        <w:t>.</w:t>
      </w:r>
      <w:bookmarkStart w:id="55" w:name="ref-leosbarajas2017"/>
      <w:bookmarkEnd w:id="55"/>
    </w:p>
    <w:p>
      <w:pPr>
        <w:pStyle w:val="Bibliography"/>
        <w:rPr/>
      </w:pPr>
      <w:r>
        <w:rPr/>
        <w:t xml:space="preserve">Levine, Joel D, Pablo Funes, Harold B Dowse, and Jeffrey C Hall. 2002. “Signal Analysis of Behavioral and Molecular Cycles.” </w:t>
      </w:r>
      <w:r>
        <w:rPr>
          <w:i/>
          <w:iCs/>
        </w:rPr>
        <w:t>BMC Neuroscience</w:t>
      </w:r>
      <w:r>
        <w:rPr/>
        <w:t>, 25.</w:t>
      </w:r>
      <w:bookmarkStart w:id="56" w:name="ref-levine2002"/>
      <w:bookmarkEnd w:id="56"/>
    </w:p>
    <w:p>
      <w:pPr>
        <w:pStyle w:val="Bibliography"/>
        <w:rPr/>
      </w:pPr>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38">
        <w:r>
          <w:rPr>
            <w:rStyle w:val="InternetLink"/>
          </w:rPr>
          <w:t>https://doi.org/10.1111/ele.13610</w:t>
        </w:r>
      </w:hyperlink>
      <w:r>
        <w:rPr/>
        <w:t>.</w:t>
      </w:r>
      <w:bookmarkStart w:id="57" w:name="ref-mcclintock2020"/>
      <w:bookmarkEnd w:id="57"/>
    </w:p>
    <w:p>
      <w:pPr>
        <w:pStyle w:val="Bibliography"/>
        <w:rPr/>
      </w:pPr>
      <w:r>
        <w:rPr/>
        <w:t>McClintock, Brett T, and Theo Michelot. 2021. “momentuHMM: R Package for Analysis of Telemetry Data Using Generalized Multivariate Hidden Markov Models of Animal Movement,” 155.</w:t>
      </w:r>
      <w:bookmarkStart w:id="58" w:name="ref-mcclintock2021"/>
      <w:bookmarkEnd w:id="58"/>
    </w:p>
    <w:p>
      <w:pPr>
        <w:pStyle w:val="Bibliography"/>
        <w:rPr/>
      </w:pPr>
      <w:r>
        <w:rPr/>
        <w:t>Michelot, Theo, and Roland Langrock. 2019. “A Short Guide to Choosing Initial Parameter Values for the Estimation in moveHMM,” 10.</w:t>
      </w:r>
      <w:bookmarkStart w:id="59" w:name="ref-michelot2019"/>
      <w:bookmarkEnd w:id="59"/>
    </w:p>
    <w:p>
      <w:pPr>
        <w:pStyle w:val="Bibliography"/>
        <w:rPr/>
      </w:pPr>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39">
        <w:r>
          <w:rPr>
            <w:rStyle w:val="InternetLink"/>
          </w:rPr>
          <w:t>https://doi.org/10.1186/s40462-018-0127-3</w:t>
        </w:r>
      </w:hyperlink>
      <w:r>
        <w:rPr/>
        <w:t>.</w:t>
      </w:r>
      <w:bookmarkStart w:id="60" w:name="ref-papastamatiou2018"/>
      <w:bookmarkEnd w:id="60"/>
    </w:p>
    <w:p>
      <w:pPr>
        <w:pStyle w:val="Bibliography"/>
        <w:rPr/>
      </w:pPr>
      <w:r>
        <w:rPr/>
        <w:t xml:space="preserve">Patterson, Allison, Hugh Grant Gilchrist, Lorraine Chivers, Scott Hatch, and Kyle Elliott. 2019. “A Comparison of Techniques for Classifying Behavior from Accelerometers for Two Species of Seabird.” </w:t>
      </w:r>
      <w:r>
        <w:rPr>
          <w:i/>
          <w:iCs/>
        </w:rPr>
        <w:t>Ecology and Evolution</w:t>
      </w:r>
      <w:r>
        <w:rPr/>
        <w:t xml:space="preserve"> 9 (6): 3030–45. </w:t>
      </w:r>
      <w:hyperlink r:id="rId40">
        <w:r>
          <w:rPr>
            <w:rStyle w:val="InternetLink"/>
          </w:rPr>
          <w:t>https://doi.org/10.1002/ece3.4740</w:t>
        </w:r>
      </w:hyperlink>
      <w:r>
        <w:rPr/>
        <w:t>.</w:t>
      </w:r>
      <w:bookmarkStart w:id="61" w:name="ref-patterson2019"/>
      <w:bookmarkEnd w:id="61"/>
    </w:p>
    <w:p>
      <w:pPr>
        <w:pStyle w:val="Bibliography"/>
        <w:rPr/>
      </w:pPr>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41">
        <w:r>
          <w:rPr>
            <w:rStyle w:val="InternetLink"/>
          </w:rPr>
          <w:t>https://doi.org/10.1111/j.1365-2656.2009.01583.x</w:t>
        </w:r>
      </w:hyperlink>
      <w:r>
        <w:rPr/>
        <w:t>.</w:t>
      </w:r>
      <w:bookmarkStart w:id="62" w:name="ref-patterson2009"/>
      <w:bookmarkEnd w:id="62"/>
    </w:p>
    <w:p>
      <w:pPr>
        <w:pStyle w:val="Bibliography"/>
        <w:rPr/>
      </w:pPr>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42">
        <w:r>
          <w:rPr>
            <w:rStyle w:val="InternetLink"/>
          </w:rPr>
          <w:t>https://doi.org/10.1007/s13253-017-0283-8</w:t>
        </w:r>
      </w:hyperlink>
      <w:r>
        <w:rPr/>
        <w:t>.</w:t>
      </w:r>
      <w:bookmarkStart w:id="63" w:name="ref-pohle2017"/>
      <w:bookmarkEnd w:id="63"/>
    </w:p>
    <w:p>
      <w:pPr>
        <w:pStyle w:val="Bibliography"/>
        <w:rPr/>
      </w:pPr>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43">
        <w:r>
          <w:rPr>
            <w:rStyle w:val="InternetLink"/>
          </w:rPr>
          <w:t>https://doi.org/10.1371/journal.pone.0031187</w:t>
        </w:r>
      </w:hyperlink>
      <w:r>
        <w:rPr/>
        <w:t>.</w:t>
      </w:r>
      <w:bookmarkStart w:id="64" w:name="ref-qasem2012"/>
      <w:bookmarkEnd w:id="64"/>
    </w:p>
    <w:p>
      <w:pPr>
        <w:pStyle w:val="Bibliography"/>
        <w:rPr/>
      </w:pPr>
      <w:r>
        <w:rPr/>
        <w:t xml:space="preserve">R Core Team. 2020. “R: A Language and Environment for Statistical Computing.” </w:t>
      </w:r>
      <w:hyperlink r:id="rId44">
        <w:r>
          <w:rPr>
            <w:rStyle w:val="InternetLink"/>
          </w:rPr>
          <w:t>https://www.R-project.org/.</w:t>
        </w:r>
      </w:hyperlink>
      <w:bookmarkStart w:id="65" w:name="ref-rcoreteam2020"/>
      <w:bookmarkEnd w:id="65"/>
    </w:p>
    <w:p>
      <w:pPr>
        <w:pStyle w:val="Bibliography"/>
        <w:rPr/>
      </w:pPr>
      <w:r>
        <w:rPr/>
        <w:t xml:space="preserve">Ruf, T. 1999. “The Lomb-Scargle Periodogram in Biological Rhythm Research: Analysis of Incomplete and Unequally Spaced Time-Series.” </w:t>
      </w:r>
      <w:r>
        <w:rPr>
          <w:i/>
          <w:iCs/>
        </w:rPr>
        <w:t>Biological Rhythm Research</w:t>
      </w:r>
      <w:r>
        <w:rPr/>
        <w:t xml:space="preserve"> 30 (2): 178–201. </w:t>
      </w:r>
      <w:hyperlink r:id="rId45">
        <w:r>
          <w:rPr>
            <w:rStyle w:val="InternetLink"/>
          </w:rPr>
          <w:t>https://doi.org/10.1076/brhm.30.2.178.1422</w:t>
        </w:r>
      </w:hyperlink>
      <w:r>
        <w:rPr/>
        <w:t>.</w:t>
      </w:r>
      <w:bookmarkStart w:id="66" w:name="ref-ruf1999"/>
      <w:bookmarkEnd w:id="66"/>
    </w:p>
    <w:p>
      <w:pPr>
        <w:pStyle w:val="Bibliography"/>
        <w:rPr/>
      </w:pPr>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46">
        <w:r>
          <w:rPr>
            <w:rStyle w:val="InternetLink"/>
          </w:rPr>
          <w:t>https://doi.org/10.3354/ab00104</w:t>
        </w:r>
      </w:hyperlink>
      <w:r>
        <w:rPr/>
        <w:t>.</w:t>
      </w:r>
      <w:bookmarkStart w:id="67" w:name="ref-shepard2008"/>
      <w:bookmarkEnd w:id="67"/>
    </w:p>
    <w:p>
      <w:pPr>
        <w:pStyle w:val="Bibliography"/>
        <w:rPr/>
      </w:pPr>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47">
        <w:r>
          <w:rPr>
            <w:rStyle w:val="InternetLink"/>
          </w:rPr>
          <w:t>https://doi.org/10.1371/journal.pone.0037918</w:t>
        </w:r>
      </w:hyperlink>
      <w:r>
        <w:rPr/>
        <w:t>.</w:t>
      </w:r>
      <w:bookmarkStart w:id="68" w:name="ref-tomotani2012"/>
      <w:bookmarkEnd w:id="68"/>
    </w:p>
    <w:p>
      <w:pPr>
        <w:pStyle w:val="Bibliography"/>
        <w:rPr/>
      </w:pPr>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48">
        <w:r>
          <w:rPr>
            <w:rStyle w:val="InternetLink"/>
          </w:rPr>
          <w:t>https://doi.org/10.1080/07420520802686331</w:t>
        </w:r>
      </w:hyperlink>
      <w:r>
        <w:rPr/>
        <w:t>.</w:t>
      </w:r>
      <w:bookmarkStart w:id="69" w:name="ref-valentinuzzi2009"/>
      <w:bookmarkEnd w:id="69"/>
    </w:p>
    <w:p>
      <w:pPr>
        <w:pStyle w:val="Bibliography"/>
        <w:rPr/>
      </w:pPr>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49">
        <w:r>
          <w:rPr>
            <w:rStyle w:val="InternetLink"/>
          </w:rPr>
          <w:t>https://doi.org/10.1111/1365-2656.12290</w:t>
        </w:r>
      </w:hyperlink>
      <w:r>
        <w:rPr/>
        <w:t>.</w:t>
      </w:r>
      <w:bookmarkStart w:id="70" w:name="ref-vandekerk2015"/>
      <w:bookmarkEnd w:id="70"/>
    </w:p>
    <w:p>
      <w:pPr>
        <w:pStyle w:val="Bibliography"/>
        <w:rPr/>
      </w:pPr>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50">
        <w:r>
          <w:rPr>
            <w:rStyle w:val="InternetLink"/>
          </w:rPr>
          <w:t>https://doi.org/10.1644/14-MAMM-A-062</w:t>
        </w:r>
      </w:hyperlink>
      <w:r>
        <w:rPr/>
        <w:t>.</w:t>
      </w:r>
      <w:bookmarkStart w:id="71" w:name="ref-williams2014"/>
      <w:bookmarkEnd w:id="71"/>
    </w:p>
    <w:p>
      <w:pPr>
        <w:pStyle w:val="Bibliography"/>
        <w:rPr/>
      </w:pPr>
      <w:r>
        <w:rPr/>
        <w:t xml:space="preserve">Williams, Cory T., Kathryn Wilsterman, Victor Zhang, Jeanette Moore, Brian M. Barnes, and C. Loren Buck. 2016. “The Secret Life of Ground Squirrels: Accelerometry Reveals Sex-Dependent Plasticity in Above-Ground Activity.” </w:t>
      </w:r>
      <w:r>
        <w:rPr>
          <w:i/>
          <w:iCs/>
        </w:rPr>
        <w:t>Royal Society Open Science</w:t>
      </w:r>
      <w:r>
        <w:rPr/>
        <w:t xml:space="preserve"> 3 (9): 160404. </w:t>
      </w:r>
      <w:hyperlink r:id="rId51">
        <w:r>
          <w:rPr>
            <w:rStyle w:val="InternetLink"/>
          </w:rPr>
          <w:t>https://doi.org/10.1098/rsos.160404</w:t>
        </w:r>
      </w:hyperlink>
      <w:r>
        <w:rPr/>
        <w:t>.</w:t>
      </w:r>
      <w:bookmarkStart w:id="72" w:name="ref-williams2016"/>
      <w:bookmarkEnd w:id="72"/>
    </w:p>
    <w:p>
      <w:pPr>
        <w:pStyle w:val="Bibliography"/>
        <w:rPr/>
      </w:pPr>
      <w:r>
        <w:rPr/>
        <w:t xml:space="preserve">Wilson, Rory P., Craig R. White, Flavio Quintana, Lewis G. Halsey, Nikolai Liebsch, Graham R. Martin, and Patrick J. Butler. 2008. “Moving Towards Acceleration for Estimates of Activity-Specific Metabolic Rate in Free-Living Animals: The Case of the Cormorant.” </w:t>
      </w:r>
      <w:r>
        <w:rPr>
          <w:i/>
          <w:iCs/>
        </w:rPr>
        <w:t>Journal of Animal Ecology</w:t>
      </w:r>
      <w:r>
        <w:rPr/>
        <w:t xml:space="preserve">, November, 1081–90. </w:t>
      </w:r>
      <w:hyperlink r:id="rId52">
        <w:r>
          <w:rPr>
            <w:rStyle w:val="InternetLink"/>
          </w:rPr>
          <w:t>https://doi.org/10.1111/j.1365-2656.2006.01127.x@10.1111/(ISSN)1365-2656.BIOTEL</w:t>
        </w:r>
      </w:hyperlink>
      <w:r>
        <w:rPr/>
        <w:t>.</w:t>
      </w:r>
      <w:bookmarkStart w:id="73" w:name="ref-wilson2008"/>
      <w:bookmarkEnd w:id="73"/>
    </w:p>
    <w:p>
      <w:pPr>
        <w:pStyle w:val="Bibliography"/>
        <w:spacing w:before="0" w:after="200"/>
        <w:rPr/>
      </w:pPr>
      <w:r>
        <w:rPr/>
        <w:t xml:space="preserve">Zucchini, Walter, Iain MacDonald, and Roland Langrock. 2016. </w:t>
      </w:r>
      <w:r>
        <w:rPr>
          <w:i/>
          <w:iCs/>
        </w:rPr>
        <w:t>Hidden Markov Models for Time Series - An Introduction Using R</w:t>
      </w:r>
      <w:r>
        <w:rPr/>
        <w:t>. Vol. 43.</w:t>
      </w:r>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bering>
</file>

<file path=word/settings.xml><?xml version="1.0" encoding="utf-8"?>
<w:settings xmlns:w="http://schemas.openxmlformats.org/wordprocessingml/2006/main">
  <w:zoom w:percent="110"/>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autoRedefine/>
    <w:uiPriority w:val="9"/>
    <w:qFormat/>
    <w:rsid w:val="00c41672"/>
    <w:pPr>
      <w:numPr>
        <w:ilvl w:val="0"/>
        <w:numId w:val="0"/>
      </w:numPr>
      <w:spacing w:before="340" w:after="369"/>
    </w:pPr>
    <w:rPr>
      <w:b/>
      <w:sz w:val="32"/>
      <w:szCs w:val="32"/>
    </w:rPr>
  </w:style>
  <w:style w:type="paragraph" w:styleId="Heading2">
    <w:name w:val="Heading 2"/>
    <w:basedOn w:val="Normal"/>
    <w:next w:val="TextBody"/>
    <w:autoRedefine/>
    <w:uiPriority w:val="9"/>
    <w:unhideWhenUsed/>
    <w:qFormat/>
    <w:rsid w:val="003d6a2f"/>
    <w:pPr>
      <w:keepNext w:val="true"/>
      <w:keepLines/>
      <w:numPr>
        <w:ilvl w:val="0"/>
        <w:numId w:val="1"/>
      </w:numPr>
      <w:spacing w:before="369" w:after="346"/>
      <w:jc w:val="left"/>
      <w:outlineLvl w:val="0"/>
    </w:pPr>
    <w:rPr>
      <w:rFonts w:ascii="Garamond" w:hAnsi="Garamond" w:eastAsia="" w:cs="" w:cstheme="majorBidi" w:eastAsiaTheme="majorEastAsia"/>
      <w:b/>
      <w:bCs/>
      <w:sz w:val="28"/>
      <w:szCs w:val="28"/>
    </w:rPr>
  </w:style>
  <w:style w:type="paragraph" w:styleId="Heading3">
    <w:name w:val="Heading 3"/>
    <w:basedOn w:val="Normal"/>
    <w:next w:val="TextBody"/>
    <w:uiPriority w:val="9"/>
    <w:unhideWhenUsed/>
    <w:qFormat/>
    <w:rsid w:val="00c41672"/>
    <w:pPr>
      <w:spacing w:before="340" w:after="369"/>
      <w:outlineLvl w:val="1"/>
    </w:pPr>
    <w:rPr>
      <w:rFonts w:ascii="Garamond" w:hAnsi="Garamond"/>
      <w:b/>
      <w:i w:val="false"/>
      <w:sz w:val="24"/>
      <w:szCs w:val="24"/>
    </w:rPr>
  </w:style>
  <w:style w:type="paragraph" w:styleId="Heading4">
    <w:name w:val="Heading 4"/>
    <w:basedOn w:val="Normal"/>
    <w:next w:val="TextBody"/>
    <w:uiPriority w:val="9"/>
    <w:unhideWhenUsed/>
    <w:qFormat/>
    <w:rsid w:val="00cc2101"/>
    <w:pPr>
      <w:keepNext w:val="true"/>
      <w:keepLines/>
      <w:spacing w:before="369" w:after="340"/>
      <w:ind w:hanging="0"/>
      <w:outlineLvl w:val="3"/>
    </w:pPr>
    <w:rPr>
      <w:rFonts w:ascii="Garamond" w:hAnsi="Garamond" w:eastAsia="" w:cs="" w:cstheme="majorBidi" w:eastAsiaTheme="majorEastAsia"/>
      <w:b/>
      <w:bCs/>
      <w:sz w:val="24"/>
    </w:rPr>
  </w:style>
  <w:style w:type="paragraph" w:styleId="Heading5">
    <w:name w:val="Heading 5"/>
    <w:basedOn w:val="Normal"/>
    <w:next w:val="TextBody"/>
    <w:uiPriority w:val="9"/>
    <w:unhideWhenUsed/>
    <w:qFormat/>
    <w:rsid w:val="00cc2101"/>
    <w:pPr>
      <w:keepNext w:val="true"/>
      <w:keepLines/>
      <w:spacing w:before="200" w:after="0"/>
      <w:ind w:hanging="0"/>
      <w:outlineLvl w:val="4"/>
    </w:pPr>
    <w:rPr>
      <w:rFonts w:ascii="Garamond" w:hAnsi="Garamond" w:eastAsia="" w:cs="" w:cstheme="majorBidi" w:eastAsiaTheme="majorEastAsia"/>
      <w:i w:val="false"/>
      <w:iCs/>
      <w:sz w:val="24"/>
    </w:rPr>
  </w:style>
  <w:style w:type="paragraph" w:styleId="Heading6">
    <w:name w:val="Heading 6"/>
    <w:basedOn w:val="Normal"/>
    <w:next w:val="TextBody"/>
    <w:uiPriority w:val="9"/>
    <w:unhideWhenUsed/>
    <w:qFormat/>
    <w:rsid w:val="00cc2101"/>
    <w:pPr>
      <w:keepNext w:val="true"/>
      <w:keepLines/>
      <w:spacing w:before="200" w:after="0"/>
      <w:ind w:hanging="0"/>
      <w:outlineLvl w:val="5"/>
    </w:pPr>
    <w:rPr>
      <w:rFonts w:ascii="Garamond" w:hAnsi="Garamond" w:eastAsia="" w:cs="" w:cstheme="majorBidi" w:eastAsiaTheme="majorEastAsia"/>
      <w:sz w:val="24"/>
    </w:rPr>
  </w:style>
  <w:style w:type="paragraph" w:styleId="Heading7">
    <w:name w:val="Heading 7"/>
    <w:basedOn w:val="Normal"/>
    <w:next w:val="TextBody"/>
    <w:uiPriority w:val="9"/>
    <w:unhideWhenUsed/>
    <w:qFormat/>
    <w:rsid w:val="00cc2101"/>
    <w:pPr>
      <w:keepNext w:val="true"/>
      <w:keepLines/>
      <w:spacing w:before="200" w:after="0"/>
      <w:ind w:hanging="0"/>
      <w:outlineLvl w:val="6"/>
    </w:pPr>
    <w:rPr>
      <w:rFonts w:ascii="Garamond" w:hAnsi="Garamond" w:eastAsia="" w:cs="" w:cstheme="majorBidi" w:eastAsiaTheme="majorEastAsia"/>
      <w:sz w:val="24"/>
    </w:rPr>
  </w:style>
  <w:style w:type="paragraph" w:styleId="Heading8">
    <w:name w:val="Heading 8"/>
    <w:basedOn w:val="Normal"/>
    <w:next w:val="TextBody"/>
    <w:uiPriority w:val="9"/>
    <w:unhideWhenUsed/>
    <w:qFormat/>
    <w:rsid w:val="00cc2101"/>
    <w:pPr>
      <w:keepNext w:val="true"/>
      <w:keepLines/>
      <w:spacing w:before="200" w:after="0"/>
      <w:ind w:hanging="0"/>
      <w:outlineLvl w:val="7"/>
    </w:pPr>
    <w:rPr>
      <w:rFonts w:ascii="Garamond" w:hAnsi="Garamond" w:eastAsia="" w:cs="" w:cstheme="majorBidi" w:eastAsiaTheme="majorEastAsia"/>
    </w:rPr>
  </w:style>
  <w:style w:type="paragraph" w:styleId="Heading9">
    <w:name w:val="Heading 9"/>
    <w:basedOn w:val="Normal"/>
    <w:next w:val="TextBody"/>
    <w:uiPriority w:val="9"/>
    <w:unhideWhenUsed/>
    <w:qFormat/>
    <w:rsid w:val="00cc2101"/>
    <w:pPr>
      <w:keepNext w:val="true"/>
      <w:keepLines/>
      <w:spacing w:before="200" w:after="0"/>
      <w:ind w:hanging="0"/>
      <w:outlineLvl w:val="8"/>
    </w:pPr>
    <w:rPr>
      <w:rFonts w:ascii="Garamond" w:hAnsi="Garamond" w:eastAsia="" w:cs="" w:cstheme="majorBidi" w:eastAsiaTheme="majorEastAsia"/>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qFormat/>
    <w:rPr>
      <w:rFonts w:ascii="Consolas" w:hAnsi="Consolas"/>
      <w:sz w:val="22"/>
    </w:rPr>
  </w:style>
  <w:style w:type="character" w:styleId="FootnoteCharacters">
    <w:name w:val="Footnote Characters"/>
    <w:basedOn w:val="CaptionChar"/>
    <w:qFormat/>
    <w:rPr>
      <w:vertAlign w:val="superscript"/>
    </w:rPr>
  </w:style>
  <w:style w:type="character" w:styleId="FootnoteAnchor">
    <w:name w:val="Footnote Anchor"/>
    <w:rPr>
      <w:vertAlign w:val="superscript"/>
    </w:rPr>
  </w:style>
  <w:style w:type="character" w:styleId="InternetLink">
    <w:name w:val="Hyperlink"/>
    <w:basedOn w:val="CaptionChar"/>
    <w:rPr>
      <w:color w:val="4F81BD" w:themeColor="accent1"/>
    </w:rPr>
  </w:style>
  <w:style w:type="character" w:styleId="BodyTextChar" w:customStyle="1">
    <w:name w:val="Body Text Char"/>
    <w:basedOn w:val="DefaultParagraphFont"/>
    <w:link w:val="BodyText"/>
    <w:qFormat/>
    <w:rsid w:val="00c06b94"/>
    <w:rPr>
      <w:rFonts w:ascii="Garamond" w:hAnsi="Garamond"/>
    </w:rPr>
  </w:style>
  <w:style w:type="character" w:styleId="VisitedInternetLink">
    <w:name w:val="FollowedHyperlink"/>
    <w:basedOn w:val="DefaultParagraphFont"/>
    <w:semiHidden/>
    <w:unhideWhenUsed/>
    <w:rsid w:val="00a4342f"/>
    <w:rPr>
      <w:color w:val="800080" w:themeColor="followedHyperlink"/>
      <w:u w:val="single"/>
    </w:rPr>
  </w:style>
  <w:style w:type="character" w:styleId="Linenumber">
    <w:name w:val="line number"/>
    <w:basedOn w:val="DefaultParagraphFont"/>
    <w:semiHidden/>
    <w:unhideWhenUsed/>
    <w:qFormat/>
    <w:rsid w:val="005c1159"/>
    <w:rPr/>
  </w:style>
  <w:style w:type="character" w:styleId="LineNumbering">
    <w:name w:val="Line Numbering"/>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link w:val="BodyTextChar"/>
    <w:qFormat/>
    <w:rsid w:val="00c06b94"/>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rsid w:val="00b00c79"/>
    <w:pPr/>
    <w:rPr/>
  </w:style>
  <w:style w:type="paragraph" w:styleId="Compact" w:customStyle="1">
    <w:name w:val="Compact"/>
    <w:basedOn w:val="TextBody"/>
    <w:qFormat/>
    <w:rsid w:val="00f96615"/>
    <w:pPr>
      <w:spacing w:before="40" w:after="40"/>
      <w:jc w:val="left"/>
    </w:pPr>
    <w:rPr/>
  </w:style>
  <w:style w:type="paragraph" w:styleId="Title">
    <w:name w:val="Title"/>
    <w:basedOn w:val="Normal"/>
    <w:next w:val="TextBody"/>
    <w:qFormat/>
    <w:rsid w:val="006d2f10"/>
    <w:pPr>
      <w:keepNext w:val="true"/>
      <w:keepLines/>
      <w:spacing w:before="480" w:after="0"/>
      <w:jc w:val="center"/>
    </w:pPr>
    <w:rPr>
      <w:rFonts w:ascii="Garamond" w:hAnsi="Garamond" w:eastAsia="" w:cs="" w:cstheme="majorBidi" w:eastAsiaTheme="majorEastAsia"/>
      <w:b/>
      <w:bCs/>
      <w:sz w:val="36"/>
      <w:szCs w:val="36"/>
    </w:rPr>
  </w:style>
  <w:style w:type="paragraph" w:styleId="Subtitle">
    <w:name w:val="Subtitle"/>
    <w:basedOn w:val="Title"/>
    <w:next w:val="TextBody"/>
    <w:qFormat/>
    <w:rsid w:val="006d2f10"/>
    <w:pPr>
      <w:spacing w:before="0" w:after="240"/>
    </w:pPr>
    <w:rPr>
      <w:sz w:val="30"/>
      <w:szCs w:val="30"/>
    </w:rPr>
  </w:style>
  <w:style w:type="paragraph" w:styleId="Author" w:customStyle="1">
    <w:name w:val="Author"/>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Date">
    <w:name w:val="Date"/>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Abstract" w:customStyle="1">
    <w:name w:val="Abstract"/>
    <w:basedOn w:val="Normal"/>
    <w:next w:val="TextBody"/>
    <w:qFormat/>
    <w:rsid w:val="00cc2101"/>
    <w:pPr>
      <w:keepNext w:val="true"/>
      <w:keepLines/>
      <w:spacing w:before="300" w:after="300"/>
    </w:pPr>
    <w:rPr>
      <w:rFonts w:ascii="Garamond" w:hAnsi="Garamond"/>
      <w:sz w:val="20"/>
      <w:szCs w:val="20"/>
    </w:rPr>
  </w:style>
  <w:style w:type="paragraph" w:styleId="Bibliography">
    <w:name w:val="Bibliography"/>
    <w:basedOn w:val="Normal"/>
    <w:qFormat/>
    <w:rsid w:val="003761c7"/>
    <w:pPr/>
    <w:rPr>
      <w:rFonts w:ascii="Garamond" w:hAnsi="Garamond"/>
      <w:sz w:val="22"/>
    </w:rPr>
  </w:style>
  <w:style w:type="paragraph" w:styleId="BlockText">
    <w:name w:val="Block Text"/>
    <w:basedOn w:val="TextBody"/>
    <w:next w:val="TextBody"/>
    <w:uiPriority w:val="9"/>
    <w:unhideWhenUsed/>
    <w:qFormat/>
    <w:rsid w:val="00cc2101"/>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rsid w:val="00cc2101"/>
    <w:pPr>
      <w:keepNext w:val="true"/>
      <w:keepLines/>
      <w:spacing w:before="0" w:after="0"/>
    </w:pPr>
    <w:rPr>
      <w:rFonts w:ascii="Garamond" w:hAnsi="Garamond"/>
      <w:b/>
    </w:rPr>
  </w:style>
  <w:style w:type="paragraph" w:styleId="Definition" w:customStyle="1">
    <w:name w:val="Definition"/>
    <w:basedOn w:val="Normal"/>
    <w:qFormat/>
    <w:rsid w:val="00cc2101"/>
    <w:pPr/>
    <w:rPr>
      <w:rFonts w:ascii="Garamond" w:hAnsi="Garamond"/>
    </w:rPr>
  </w:style>
  <w:style w:type="paragraph" w:styleId="Caption1">
    <w:name w:val="caption"/>
    <w:basedOn w:val="Normal"/>
    <w:link w:val="CaptionChar"/>
    <w:qFormat/>
    <w:pPr>
      <w:spacing w:before="0" w:after="120"/>
    </w:pPr>
    <w:rPr>
      <w:i/>
    </w:rPr>
  </w:style>
  <w:style w:type="paragraph" w:styleId="TableCaption" w:customStyle="1">
    <w:name w:val="Table Caption"/>
    <w:basedOn w:val="Caption1"/>
    <w:qFormat/>
    <w:rsid w:val="00a4342f"/>
    <w:pPr>
      <w:keepNext w:val="true"/>
      <w:jc w:val="center"/>
    </w:pPr>
    <w:rPr>
      <w:rFonts w:ascii="Garamond" w:hAnsi="Garamond"/>
    </w:rPr>
  </w:style>
  <w:style w:type="paragraph" w:styleId="ImageCaption" w:customStyle="1">
    <w:name w:val="Image Caption"/>
    <w:basedOn w:val="Caption1"/>
    <w:qFormat/>
    <w:rsid w:val="00cc2101"/>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name w:val="Heading 10"/>
    <w:basedOn w:val="Heading"/>
    <w:next w:val="TextBody"/>
    <w:qFormat/>
    <w:pPr>
      <w:spacing w:before="60" w:after="60"/>
      <w:outlineLvl w:val="8"/>
    </w:pPr>
    <w:rPr>
      <w:b/>
      <w:bCs/>
      <w:sz w:val="21"/>
      <w:szCs w:val="21"/>
    </w:rPr>
  </w:style>
  <w:style w:type="paragraph" w:styleId="Bullet">
    <w:name w:val="Bullet"/>
    <w:basedOn w:val="Definition"/>
    <w:qFormat/>
    <w:pPr/>
    <w:rPr/>
  </w:style>
  <w:style w:type="paragraph" w:styleId="ComplimentaryClose">
    <w:name w:val="Salutation"/>
    <w:basedOn w:val="Normal"/>
    <w:pPr>
      <w:suppressLineNumbers/>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SourceCode" w:customStyle="1">
    <w:name w:val="Source Code"/>
    <w:basedOn w:val="Normal"/>
    <w:link w:val="VerbatimChar"/>
    <w:qFormat/>
    <w:pPr>
      <w:shd w:val="clear" w:fill="F8F8F8"/>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 w:type="table" w:styleId="TableGrid">
    <w:name w:val="Table Grid"/>
    <w:basedOn w:val="TableNormal"/>
    <w:rsid w:val="00a5445e"/>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4">
    <w:name w:val="Plain Table 4"/>
    <w:basedOn w:val="TableNormal"/>
    <w:rsid w:val="00ba2ec8"/>
    <w:pPr>
      <w:spacing w:after="0"/>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rsid w:val="00ba2ec8"/>
    <w:pPr>
      <w:spacing w:after="0"/>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ridTable2">
    <w:name w:val="Grid Table 2"/>
    <w:basedOn w:val="TableNormal"/>
    <w:rsid w:val="00ba2ec8"/>
    <w:pPr>
      <w:spacing w:after="0"/>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sz="12" w:space="0"/>
          <w:insideH w:val="nil"/>
          <w:insideV w:val="nil"/>
        </w:tcBorders>
        <w:shd w:val="clear" w:color="auto" w:fill="FFFFFF" w:themeFill="background1"/>
      </w:tcPr>
    </w:tblStylePr>
    <w:tblStylePr w:type="lastRow">
      <w:rPr>
        <w:b/>
        <w:bCs/>
      </w:rPr>
      <w:tblPr/>
      <w:tcPr>
        <w:tcBorders>
          <w:top w:val="double" w:color="666666"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rsid w:val="00ba2ec8"/>
    <w:pPr>
      <w:spacing w:after="0"/>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styleId="PlainTable1">
    <w:name w:val="Plain Table 1"/>
    <w:basedOn w:val="TableNormal"/>
    <w:rsid w:val="0089359b"/>
    <w:pPr>
      <w:spacing w:after="0"/>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yperlink" Target="https://doi.org/10.1016/j.jaridenv.2008.09.028" TargetMode="External"/><Relationship Id="rId26" Type="http://schemas.openxmlformats.org/officeDocument/2006/relationships/hyperlink" Target="https://doi.org/10.7717/peerj.2559" TargetMode="External"/><Relationship Id="rId27" Type="http://schemas.openxmlformats.org/officeDocument/2006/relationships/hyperlink" Target="https://doi.org/10.1093/aobpla/plu068" TargetMode="External"/><Relationship Id="rId28" Type="http://schemas.openxmlformats.org/officeDocument/2006/relationships/hyperlink" Target="https://doi.org/10.1111/j.1570-7458.2011.01111.x" TargetMode="External"/><Relationship Id="rId29" Type="http://schemas.openxmlformats.org/officeDocument/2006/relationships/hyperlink" Target="https://CRAN.R-project.org/package=maptools" TargetMode="External"/><Relationship Id="rId30" Type="http://schemas.openxmlformats.org/officeDocument/2006/relationships/hyperlink" Target="https://doi.org/10.1016/j.dendro.2008.01.002" TargetMode="External"/><Relationship Id="rId31" Type="http://schemas.openxmlformats.org/officeDocument/2006/relationships/hyperlink" Target="https://doi.org/10.1016/S0076-6879(08)03806-8" TargetMode="External"/><Relationship Id="rId32" Type="http://schemas.openxmlformats.org/officeDocument/2006/relationships/hyperlink" Target="https://doi.org/10.1016/j.jaridenv.2011.04.034" TargetMode="External"/><Relationship Id="rId33" Type="http://schemas.openxmlformats.org/officeDocument/2006/relationships/hyperlink" Target="https://CRAN.R-project.org/package=pracma" TargetMode="External"/><Relationship Id="rId34" Type="http://schemas.openxmlformats.org/officeDocument/2006/relationships/hyperlink" Target="https://doi.org/10.1093/conphys/coz044" TargetMode="External"/><Relationship Id="rId35" Type="http://schemas.openxmlformats.org/officeDocument/2006/relationships/hyperlink" Target="https://doi.org/10.1890/11-2241.1" TargetMode="External"/><Relationship Id="rId36" Type="http://schemas.openxmlformats.org/officeDocument/2006/relationships/hyperlink" Target="https://doi.org/10.1177/0748730417709105" TargetMode="External"/><Relationship Id="rId37" Type="http://schemas.openxmlformats.org/officeDocument/2006/relationships/hyperlink" Target="https://doi.org/10.1111/2041-210X.12657" TargetMode="External"/><Relationship Id="rId38" Type="http://schemas.openxmlformats.org/officeDocument/2006/relationships/hyperlink" Target="https://doi.org/10.1111/ele.13610" TargetMode="External"/><Relationship Id="rId39" Type="http://schemas.openxmlformats.org/officeDocument/2006/relationships/hyperlink" Target="https://doi.org/10.1186/s40462-018-0127-3" TargetMode="External"/><Relationship Id="rId40" Type="http://schemas.openxmlformats.org/officeDocument/2006/relationships/hyperlink" Target="https://doi.org/10.1002/ece3.4740" TargetMode="External"/><Relationship Id="rId41" Type="http://schemas.openxmlformats.org/officeDocument/2006/relationships/hyperlink" Target="https://doi.org/10.1111/j.1365-2656.2009.01583.x" TargetMode="External"/><Relationship Id="rId42" Type="http://schemas.openxmlformats.org/officeDocument/2006/relationships/hyperlink" Target="https://doi.org/10.1007/s13253-017-0283-8" TargetMode="External"/><Relationship Id="rId43" Type="http://schemas.openxmlformats.org/officeDocument/2006/relationships/hyperlink" Target="https://doi.org/10.1371/journal.pone.0031187" TargetMode="External"/><Relationship Id="rId44" Type="http://schemas.openxmlformats.org/officeDocument/2006/relationships/hyperlink" Target="https://www.R-project.org/" TargetMode="External"/><Relationship Id="rId45" Type="http://schemas.openxmlformats.org/officeDocument/2006/relationships/hyperlink" Target="https://doi.org/10.1076/brhm.30.2.178.1422" TargetMode="External"/><Relationship Id="rId46" Type="http://schemas.openxmlformats.org/officeDocument/2006/relationships/hyperlink" Target="https://doi.org/10.3354/ab00104" TargetMode="External"/><Relationship Id="rId47" Type="http://schemas.openxmlformats.org/officeDocument/2006/relationships/hyperlink" Target="https://doi.org/10.1371/journal.pone.0037918" TargetMode="External"/><Relationship Id="rId48" Type="http://schemas.openxmlformats.org/officeDocument/2006/relationships/hyperlink" Target="https://doi.org/10.1080/07420520802686331" TargetMode="External"/><Relationship Id="rId49" Type="http://schemas.openxmlformats.org/officeDocument/2006/relationships/hyperlink" Target="https://doi.org/10.1111/1365-2656.12290" TargetMode="External"/><Relationship Id="rId50" Type="http://schemas.openxmlformats.org/officeDocument/2006/relationships/hyperlink" Target="https://doi.org/10.1644/14-MAMM-A-062" TargetMode="External"/><Relationship Id="rId51" Type="http://schemas.openxmlformats.org/officeDocument/2006/relationships/hyperlink" Target="https://doi.org/10.1098/rsos.160404" TargetMode="External"/><Relationship Id="rId52" Type="http://schemas.openxmlformats.org/officeDocument/2006/relationships/hyperlink" Target="https://doi.org/10.1111/j.1365-2656.2006.01127.x@10.1111/(ISSN)1365-2656.BIOTEL" TargetMode="Externa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Application>LibreOffice/7.1.1.2$Linux_X86_64 LibreOffice_project/10$Build-2</Application>
  <AppVersion>15.0000</AppVersion>
  <Pages>48</Pages>
  <Words>6287</Words>
  <Characters>35216</Characters>
  <CharactersWithSpaces>41298</CharactersWithSpaces>
  <Paragraphs>187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2021-10-03T01:11:08Z</dcterms:created>
  <dc:creator/>
  <dc:description/>
  <dc:language>en-US</dc:language>
  <cp:lastModifiedBy/>
  <dcterms:modified xsi:type="dcterms:W3CDTF">2021-10-02T22:13:32Z</dcterms:modified>
  <cp:revision>2</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10</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word_document</vt:lpwstr>
  </property>
  <property fmtid="{D5CDD505-2E9C-101B-9397-08002B2CF9AE}" pid="23" name="site">
    <vt:lpwstr>bookdown::bookdown_site</vt:lpwstr>
  </property>
  <property fmtid="{D5CDD505-2E9C-101B-9397-08002B2CF9AE}" pid="24" name="thanks">
    <vt:lpwstr/>
  </property>
</Properties>
</file>